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D6BA" w14:textId="15CED0F8" w:rsidR="00D73238" w:rsidRDefault="00FC65BB" w:rsidP="00D73238">
      <w:pPr>
        <w:pStyle w:val="Ttulo"/>
        <w:framePr w:w="0" w:hSpace="0" w:vSpace="0" w:wrap="auto" w:vAnchor="margin" w:hAnchor="text" w:xAlign="left" w:yAlign="inline"/>
        <w:rPr>
          <w:b/>
          <w:sz w:val="32"/>
          <w:szCs w:val="32"/>
        </w:rPr>
      </w:pPr>
      <w:r>
        <w:rPr>
          <w:b/>
          <w:sz w:val="32"/>
          <w:szCs w:val="32"/>
        </w:rPr>
        <w:t>TÍTULO DEL TRABAJO</w:t>
      </w:r>
    </w:p>
    <w:p w14:paraId="322D4D9A" w14:textId="38F7A9C8" w:rsidR="00D73238" w:rsidRPr="00FB12E9" w:rsidRDefault="00FB12E9" w:rsidP="00FB12E9">
      <w:pPr>
        <w:jc w:val="center"/>
      </w:pPr>
      <w:r w:rsidRPr="00FB12E9">
        <w:t xml:space="preserve">Máximo </w:t>
      </w:r>
      <w:r w:rsidR="00A77E5E">
        <w:t>25</w:t>
      </w:r>
      <w:r w:rsidRPr="00FB12E9">
        <w:t xml:space="preserve"> palabras</w:t>
      </w:r>
    </w:p>
    <w:p w14:paraId="0F06D0FC" w14:textId="201A6205" w:rsidR="00A00DE6" w:rsidRDefault="00FC65BB" w:rsidP="00D73238">
      <w:pPr>
        <w:jc w:val="center"/>
        <w:rPr>
          <w:rFonts w:ascii="Times New Roman" w:hAnsi="Times New Roman" w:cs="Times New Roman"/>
          <w:b/>
          <w:sz w:val="24"/>
          <w:lang w:val="en-US"/>
        </w:rPr>
      </w:pPr>
      <w:r>
        <w:rPr>
          <w:rFonts w:ascii="Times New Roman" w:hAnsi="Times New Roman" w:cs="Times New Roman"/>
          <w:b/>
          <w:sz w:val="24"/>
          <w:lang w:val="en-US"/>
        </w:rPr>
        <w:t>TITLE OF THE WORK</w:t>
      </w:r>
    </w:p>
    <w:p w14:paraId="138C0454" w14:textId="26451539" w:rsidR="00D73238" w:rsidRDefault="00B82D8F" w:rsidP="006409EE">
      <w:pPr>
        <w:spacing w:before="240"/>
        <w:jc w:val="center"/>
        <w:rPr>
          <w:rFonts w:ascii="Times New Roman" w:hAnsi="Times New Roman" w:cs="Times New Roman"/>
          <w:b/>
          <w:sz w:val="24"/>
          <w:vertAlign w:val="superscript"/>
          <w:lang w:val="es-CO"/>
        </w:rPr>
      </w:pPr>
      <w:r>
        <w:rPr>
          <w:rFonts w:ascii="Times New Roman" w:hAnsi="Times New Roman" w:cs="Times New Roman"/>
          <w:b/>
          <w:sz w:val="24"/>
          <w:lang w:val="es-CO"/>
        </w:rPr>
        <w:t xml:space="preserve">Michael </w:t>
      </w:r>
      <w:proofErr w:type="spellStart"/>
      <w:r>
        <w:rPr>
          <w:rFonts w:ascii="Times New Roman" w:hAnsi="Times New Roman" w:cs="Times New Roman"/>
          <w:b/>
          <w:sz w:val="24"/>
          <w:lang w:val="es-CO"/>
        </w:rPr>
        <w:t>Hachi</w:t>
      </w:r>
      <w:proofErr w:type="spellEnd"/>
      <w:r w:rsidR="006409EE" w:rsidRPr="00D73238">
        <w:rPr>
          <w:rFonts w:ascii="Times New Roman" w:hAnsi="Times New Roman" w:cs="Times New Roman"/>
          <w:b/>
          <w:sz w:val="24"/>
          <w:vertAlign w:val="superscript"/>
          <w:lang w:val="es-CO"/>
        </w:rPr>
        <w:t xml:space="preserve"> (</w:t>
      </w:r>
      <w:r w:rsidR="00D73238" w:rsidRPr="00D73238">
        <w:rPr>
          <w:rFonts w:ascii="Times New Roman" w:hAnsi="Times New Roman" w:cs="Times New Roman"/>
          <w:b/>
          <w:sz w:val="24"/>
          <w:vertAlign w:val="superscript"/>
          <w:lang w:val="es-CO"/>
        </w:rPr>
        <w:t>1)</w:t>
      </w:r>
      <w:r w:rsidR="00FB12E9">
        <w:rPr>
          <w:rFonts w:ascii="Times New Roman" w:hAnsi="Times New Roman" w:cs="Times New Roman"/>
          <w:b/>
          <w:sz w:val="24"/>
          <w:vertAlign w:val="superscript"/>
          <w:lang w:val="es-CO"/>
        </w:rPr>
        <w:t>*</w:t>
      </w:r>
      <w:r w:rsidR="00D73238" w:rsidRPr="00D73238">
        <w:rPr>
          <w:rFonts w:ascii="Times New Roman" w:hAnsi="Times New Roman" w:cs="Times New Roman"/>
          <w:b/>
          <w:sz w:val="24"/>
          <w:lang w:val="es-CO"/>
        </w:rPr>
        <w:t xml:space="preserve">; </w:t>
      </w:r>
      <w:proofErr w:type="spellStart"/>
      <w:r>
        <w:rPr>
          <w:rFonts w:ascii="Times New Roman" w:hAnsi="Times New Roman" w:cs="Times New Roman"/>
          <w:b/>
          <w:sz w:val="24"/>
          <w:lang w:val="es-CO"/>
        </w:rPr>
        <w:t>Mishell</w:t>
      </w:r>
      <w:proofErr w:type="spellEnd"/>
      <w:r>
        <w:rPr>
          <w:rFonts w:ascii="Times New Roman" w:hAnsi="Times New Roman" w:cs="Times New Roman"/>
          <w:b/>
          <w:sz w:val="24"/>
          <w:lang w:val="es-CO"/>
        </w:rPr>
        <w:t xml:space="preserve"> Salguero</w:t>
      </w:r>
      <w:r w:rsidR="006409EE" w:rsidRPr="00D73238">
        <w:rPr>
          <w:rFonts w:ascii="Times New Roman" w:hAnsi="Times New Roman" w:cs="Times New Roman"/>
          <w:b/>
          <w:sz w:val="24"/>
          <w:vertAlign w:val="superscript"/>
          <w:lang w:val="es-CO"/>
        </w:rPr>
        <w:t xml:space="preserve"> (</w:t>
      </w:r>
      <w:r w:rsidR="00D73238" w:rsidRPr="00D73238">
        <w:rPr>
          <w:rFonts w:ascii="Times New Roman" w:hAnsi="Times New Roman" w:cs="Times New Roman"/>
          <w:b/>
          <w:sz w:val="24"/>
          <w:vertAlign w:val="superscript"/>
          <w:lang w:val="es-CO"/>
        </w:rPr>
        <w:t>2)</w:t>
      </w:r>
      <w:r w:rsidR="00D73238" w:rsidRPr="00D73238">
        <w:rPr>
          <w:rFonts w:ascii="Times New Roman" w:hAnsi="Times New Roman" w:cs="Times New Roman"/>
          <w:b/>
          <w:sz w:val="24"/>
          <w:lang w:val="es-CO"/>
        </w:rPr>
        <w:t xml:space="preserve">; </w:t>
      </w:r>
      <w:r>
        <w:rPr>
          <w:rFonts w:ascii="Times New Roman" w:hAnsi="Times New Roman" w:cs="Times New Roman"/>
          <w:b/>
          <w:sz w:val="24"/>
          <w:lang w:val="es-CO"/>
        </w:rPr>
        <w:t>Arleth Moreno</w:t>
      </w:r>
      <w:r w:rsidR="006409EE" w:rsidRPr="00D73238">
        <w:rPr>
          <w:rFonts w:ascii="Times New Roman" w:hAnsi="Times New Roman" w:cs="Times New Roman"/>
          <w:b/>
          <w:sz w:val="24"/>
          <w:vertAlign w:val="superscript"/>
          <w:lang w:val="es-CO"/>
        </w:rPr>
        <w:t xml:space="preserve"> (</w:t>
      </w:r>
      <w:r w:rsidR="00D73238" w:rsidRPr="00D73238">
        <w:rPr>
          <w:rFonts w:ascii="Times New Roman" w:hAnsi="Times New Roman" w:cs="Times New Roman"/>
          <w:b/>
          <w:sz w:val="24"/>
          <w:vertAlign w:val="superscript"/>
          <w:lang w:val="es-CO"/>
        </w:rPr>
        <w:t>3)</w:t>
      </w:r>
    </w:p>
    <w:p w14:paraId="7D8EC781" w14:textId="1EA5D234" w:rsidR="00D73238" w:rsidRDefault="006409EE" w:rsidP="006409EE">
      <w:pPr>
        <w:spacing w:before="240"/>
        <w:jc w:val="center"/>
        <w:rPr>
          <w:rFonts w:ascii="Times New Roman" w:hAnsi="Times New Roman" w:cs="Times New Roman"/>
          <w:i/>
          <w:sz w:val="24"/>
          <w:lang w:val="es-CO"/>
        </w:rPr>
      </w:pPr>
      <w:r w:rsidRPr="006409EE">
        <w:rPr>
          <w:rFonts w:ascii="Times New Roman" w:hAnsi="Times New Roman" w:cs="Times New Roman"/>
          <w:i/>
          <w:sz w:val="24"/>
          <w:vertAlign w:val="superscript"/>
          <w:lang w:val="es-CO"/>
        </w:rPr>
        <w:t xml:space="preserve"> (1)</w:t>
      </w:r>
      <w:r w:rsidRPr="006409EE">
        <w:rPr>
          <w:rFonts w:ascii="Times New Roman" w:hAnsi="Times New Roman" w:cs="Times New Roman"/>
          <w:i/>
          <w:sz w:val="24"/>
          <w:lang w:val="es-CO"/>
        </w:rPr>
        <w:t xml:space="preserve"> Universidad Estatal de Bolívar. Campus Académico “Alpachaca” Av. Ernesto Che Gue</w:t>
      </w:r>
      <w:r>
        <w:rPr>
          <w:rFonts w:ascii="Times New Roman" w:hAnsi="Times New Roman" w:cs="Times New Roman"/>
          <w:i/>
          <w:sz w:val="24"/>
          <w:lang w:val="es-CO"/>
        </w:rPr>
        <w:t xml:space="preserve">vara s/n y Av. Gabriel </w:t>
      </w:r>
      <w:proofErr w:type="spellStart"/>
      <w:r>
        <w:rPr>
          <w:rFonts w:ascii="Times New Roman" w:hAnsi="Times New Roman" w:cs="Times New Roman"/>
          <w:i/>
          <w:sz w:val="24"/>
          <w:lang w:val="es-CO"/>
        </w:rPr>
        <w:t>Secaira</w:t>
      </w:r>
      <w:proofErr w:type="spellEnd"/>
      <w:r>
        <w:rPr>
          <w:rFonts w:ascii="Times New Roman" w:hAnsi="Times New Roman" w:cs="Times New Roman"/>
          <w:i/>
          <w:sz w:val="24"/>
          <w:lang w:val="es-CO"/>
        </w:rPr>
        <w:t>,</w:t>
      </w:r>
      <w:r w:rsidRPr="006409EE">
        <w:rPr>
          <w:rFonts w:ascii="Times New Roman" w:hAnsi="Times New Roman" w:cs="Times New Roman"/>
          <w:i/>
          <w:sz w:val="24"/>
          <w:lang w:val="es-CO"/>
        </w:rPr>
        <w:t xml:space="preserve"> Guaranda, Ecuado</w:t>
      </w:r>
      <w:r>
        <w:rPr>
          <w:rFonts w:ascii="Times New Roman" w:hAnsi="Times New Roman" w:cs="Times New Roman"/>
          <w:i/>
          <w:sz w:val="24"/>
          <w:lang w:val="es-CO"/>
        </w:rPr>
        <w:t xml:space="preserve">r. </w:t>
      </w:r>
      <w:r w:rsidR="00B82D8F">
        <w:rPr>
          <w:rFonts w:ascii="Times New Roman" w:hAnsi="Times New Roman" w:cs="Times New Roman"/>
          <w:i/>
          <w:sz w:val="24"/>
          <w:lang w:val="es-CO"/>
        </w:rPr>
        <w:t>xhachi</w:t>
      </w:r>
      <w:r w:rsidRPr="006409EE">
        <w:rPr>
          <w:rFonts w:ascii="Times New Roman" w:hAnsi="Times New Roman" w:cs="Times New Roman"/>
          <w:i/>
          <w:sz w:val="24"/>
          <w:lang w:val="es-CO"/>
        </w:rPr>
        <w:t>@ueb.edu.ec</w:t>
      </w:r>
      <w:r>
        <w:rPr>
          <w:rFonts w:ascii="Times New Roman" w:hAnsi="Times New Roman" w:cs="Times New Roman"/>
          <w:i/>
          <w:sz w:val="24"/>
          <w:lang w:val="es-CO"/>
        </w:rPr>
        <w:t xml:space="preserve"> </w:t>
      </w:r>
    </w:p>
    <w:p w14:paraId="69889A85" w14:textId="77777777" w:rsidR="006409EE" w:rsidRDefault="006409EE" w:rsidP="006409EE">
      <w:pPr>
        <w:jc w:val="center"/>
        <w:rPr>
          <w:rFonts w:ascii="Times New Roman" w:hAnsi="Times New Roman" w:cs="Times New Roman"/>
          <w:i/>
          <w:sz w:val="24"/>
          <w:lang w:val="es-CO"/>
        </w:rPr>
      </w:pPr>
      <w:r w:rsidRPr="006409EE">
        <w:rPr>
          <w:rFonts w:ascii="Times New Roman" w:hAnsi="Times New Roman" w:cs="Times New Roman"/>
          <w:i/>
          <w:sz w:val="24"/>
          <w:vertAlign w:val="superscript"/>
          <w:lang w:val="es-CO"/>
        </w:rPr>
        <w:t>(2)</w:t>
      </w:r>
      <w:r w:rsidRPr="006409EE">
        <w:rPr>
          <w:rFonts w:ascii="Times New Roman" w:hAnsi="Times New Roman" w:cs="Times New Roman"/>
          <w:i/>
          <w:sz w:val="24"/>
          <w:lang w:val="es-CO"/>
        </w:rPr>
        <w:t xml:space="preserve"> Universidad Técnica de Ambato, Av. Los Chasquis y Río </w:t>
      </w:r>
      <w:proofErr w:type="spellStart"/>
      <w:r w:rsidRPr="006409EE">
        <w:rPr>
          <w:rFonts w:ascii="Times New Roman" w:hAnsi="Times New Roman" w:cs="Times New Roman"/>
          <w:i/>
          <w:sz w:val="24"/>
          <w:lang w:val="es-CO"/>
        </w:rPr>
        <w:t>Payamino</w:t>
      </w:r>
      <w:proofErr w:type="spellEnd"/>
      <w:r w:rsidRPr="006409EE">
        <w:rPr>
          <w:rFonts w:ascii="Times New Roman" w:hAnsi="Times New Roman" w:cs="Times New Roman"/>
          <w:i/>
          <w:sz w:val="24"/>
          <w:lang w:val="es-CO"/>
        </w:rPr>
        <w:t>, Campus Huachi, Ambato-Ecuador.</w:t>
      </w:r>
    </w:p>
    <w:p w14:paraId="389CC77E" w14:textId="77777777" w:rsidR="006409EE" w:rsidRDefault="006409EE" w:rsidP="006409EE">
      <w:pPr>
        <w:spacing w:after="0"/>
        <w:jc w:val="center"/>
        <w:rPr>
          <w:rFonts w:ascii="Times New Roman" w:hAnsi="Times New Roman" w:cs="Times New Roman"/>
          <w:i/>
          <w:sz w:val="24"/>
          <w:lang w:val="es-CO"/>
        </w:rPr>
      </w:pPr>
      <w:r w:rsidRPr="006409EE">
        <w:rPr>
          <w:rFonts w:ascii="Times New Roman" w:hAnsi="Times New Roman" w:cs="Times New Roman"/>
          <w:i/>
          <w:sz w:val="24"/>
          <w:vertAlign w:val="superscript"/>
          <w:lang w:val="es-CO"/>
        </w:rPr>
        <w:t>(3)</w:t>
      </w:r>
      <w:r w:rsidRPr="006409EE">
        <w:rPr>
          <w:rFonts w:ascii="Times New Roman" w:hAnsi="Times New Roman" w:cs="Times New Roman"/>
          <w:i/>
          <w:sz w:val="24"/>
          <w:lang w:val="es-CO"/>
        </w:rPr>
        <w:t xml:space="preserve"> Escuela Superior Politécnica de Chimborazo. Panamericana Sur km 1 1/2, Riobamba-Ecuador</w:t>
      </w:r>
      <w:r>
        <w:rPr>
          <w:rFonts w:ascii="Times New Roman" w:hAnsi="Times New Roman" w:cs="Times New Roman"/>
          <w:i/>
          <w:sz w:val="24"/>
          <w:lang w:val="es-CO"/>
        </w:rPr>
        <w:t>.</w:t>
      </w:r>
    </w:p>
    <w:p w14:paraId="719E0B2E" w14:textId="13B79A0F" w:rsidR="006409EE" w:rsidRDefault="00FB12E9" w:rsidP="006409EE">
      <w:pPr>
        <w:spacing w:after="0"/>
        <w:jc w:val="center"/>
        <w:rPr>
          <w:rFonts w:ascii="Times New Roman" w:hAnsi="Times New Roman" w:cs="Times New Roman"/>
          <w:i/>
          <w:sz w:val="24"/>
          <w:lang w:val="es-CO"/>
        </w:rPr>
      </w:pPr>
      <w:r>
        <w:rPr>
          <w:rFonts w:ascii="Times New Roman" w:hAnsi="Times New Roman" w:cs="Times New Roman"/>
          <w:i/>
          <w:sz w:val="24"/>
          <w:lang w:val="es-CO"/>
        </w:rPr>
        <w:t xml:space="preserve">*Autor de correspondencia: </w:t>
      </w:r>
      <w:proofErr w:type="spellStart"/>
      <w:r>
        <w:rPr>
          <w:rFonts w:ascii="Times New Roman" w:hAnsi="Times New Roman" w:cs="Times New Roman"/>
          <w:i/>
          <w:sz w:val="24"/>
          <w:lang w:val="es-CO"/>
        </w:rPr>
        <w:t>autor@dominio</w:t>
      </w:r>
      <w:proofErr w:type="spellEnd"/>
    </w:p>
    <w:p w14:paraId="571FDED1" w14:textId="77777777" w:rsidR="006409EE" w:rsidRPr="006409EE" w:rsidRDefault="006409EE" w:rsidP="006409EE">
      <w:pPr>
        <w:spacing w:after="0"/>
        <w:jc w:val="center"/>
        <w:rPr>
          <w:rFonts w:ascii="Times New Roman" w:hAnsi="Times New Roman" w:cs="Times New Roman"/>
          <w:sz w:val="24"/>
          <w:lang w:val="es-CO"/>
        </w:rPr>
      </w:pPr>
    </w:p>
    <w:p w14:paraId="7CB3E28C" w14:textId="04CAD3E4" w:rsidR="006409EE" w:rsidRPr="006409EE" w:rsidRDefault="006409EE" w:rsidP="004C3C9F">
      <w:pPr>
        <w:spacing w:line="360" w:lineRule="auto"/>
        <w:jc w:val="both"/>
        <w:rPr>
          <w:rFonts w:ascii="Times New Roman" w:hAnsi="Times New Roman" w:cs="Times New Roman"/>
          <w:sz w:val="24"/>
          <w:lang w:val="es-CO"/>
        </w:rPr>
      </w:pPr>
      <w:r w:rsidRPr="006409EE">
        <w:rPr>
          <w:rFonts w:ascii="Times New Roman" w:hAnsi="Times New Roman" w:cs="Times New Roman"/>
          <w:b/>
          <w:sz w:val="24"/>
          <w:lang w:val="es-CO"/>
        </w:rPr>
        <w:t>Resumen:</w:t>
      </w:r>
      <w:r>
        <w:rPr>
          <w:rFonts w:ascii="Times New Roman" w:hAnsi="Times New Roman" w:cs="Times New Roman"/>
          <w:sz w:val="24"/>
          <w:lang w:val="es-CO"/>
        </w:rPr>
        <w:t xml:space="preserve"> </w:t>
      </w:r>
      <w:r w:rsidRPr="006409EE">
        <w:rPr>
          <w:rFonts w:ascii="Times New Roman" w:hAnsi="Times New Roman" w:cs="Times New Roman"/>
          <w:i/>
          <w:sz w:val="24"/>
          <w:lang w:val="es-CO"/>
        </w:rPr>
        <w:t xml:space="preserve">En un solo párrafo y </w:t>
      </w:r>
      <w:r w:rsidR="00A77E5E">
        <w:rPr>
          <w:rFonts w:ascii="Times New Roman" w:hAnsi="Times New Roman" w:cs="Times New Roman"/>
          <w:i/>
          <w:sz w:val="24"/>
          <w:lang w:val="es-CO"/>
        </w:rPr>
        <w:t>entre 200-</w:t>
      </w:r>
      <w:r w:rsidRPr="006409EE">
        <w:rPr>
          <w:rFonts w:ascii="Times New Roman" w:hAnsi="Times New Roman" w:cs="Times New Roman"/>
          <w:i/>
          <w:sz w:val="24"/>
          <w:lang w:val="es-CO"/>
        </w:rPr>
        <w:t xml:space="preserve">250 palabras, indicar lo que se hizo y los principales hallazgos. El Resumen debe ser informativo y no sólo “promisorio”. No se permiten citas bibliográficas. Los artículos que se sometan en el idioma </w:t>
      </w:r>
      <w:r w:rsidR="00FB12E9" w:rsidRPr="006409EE">
        <w:rPr>
          <w:rFonts w:ascii="Times New Roman" w:hAnsi="Times New Roman" w:cs="Times New Roman"/>
          <w:i/>
          <w:sz w:val="24"/>
          <w:lang w:val="es-CO"/>
        </w:rPr>
        <w:t>inglés</w:t>
      </w:r>
      <w:r w:rsidRPr="006409EE">
        <w:rPr>
          <w:rFonts w:ascii="Times New Roman" w:hAnsi="Times New Roman" w:cs="Times New Roman"/>
          <w:i/>
          <w:sz w:val="24"/>
          <w:lang w:val="es-CO"/>
        </w:rPr>
        <w:t xml:space="preserve"> deben llevar un resumen en español o portugués. Es indispensable que la información del Resumen sea la misma incluida en el </w:t>
      </w:r>
      <w:proofErr w:type="spellStart"/>
      <w:r w:rsidRPr="006409EE">
        <w:rPr>
          <w:rFonts w:ascii="Times New Roman" w:hAnsi="Times New Roman" w:cs="Times New Roman"/>
          <w:i/>
          <w:sz w:val="24"/>
          <w:lang w:val="es-CO"/>
        </w:rPr>
        <w:t>Abstract</w:t>
      </w:r>
      <w:proofErr w:type="spellEnd"/>
      <w:r>
        <w:rPr>
          <w:rFonts w:ascii="Times New Roman" w:hAnsi="Times New Roman" w:cs="Times New Roman"/>
          <w:i/>
          <w:sz w:val="24"/>
          <w:lang w:val="es-CO"/>
        </w:rPr>
        <w:t xml:space="preserve"> (El resumen </w:t>
      </w:r>
      <w:r w:rsidR="004C3C9F">
        <w:rPr>
          <w:rFonts w:ascii="Times New Roman" w:hAnsi="Times New Roman" w:cs="Times New Roman"/>
          <w:i/>
          <w:sz w:val="24"/>
          <w:lang w:val="es-CO"/>
        </w:rPr>
        <w:t>tendrá que estar en cursiva, Times New Román 12</w:t>
      </w:r>
      <w:r>
        <w:rPr>
          <w:rFonts w:ascii="Times New Roman" w:hAnsi="Times New Roman" w:cs="Times New Roman"/>
          <w:i/>
          <w:sz w:val="24"/>
          <w:lang w:val="es-CO"/>
        </w:rPr>
        <w:t>)</w:t>
      </w:r>
      <w:r w:rsidRPr="006409EE">
        <w:rPr>
          <w:rFonts w:ascii="Times New Roman" w:hAnsi="Times New Roman" w:cs="Times New Roman"/>
          <w:i/>
          <w:sz w:val="24"/>
          <w:lang w:val="es-CO"/>
        </w:rPr>
        <w:t>.</w:t>
      </w:r>
    </w:p>
    <w:p w14:paraId="1C0700E9" w14:textId="5215ED02" w:rsidR="006409EE" w:rsidRDefault="004C3C9F" w:rsidP="004C3C9F">
      <w:pPr>
        <w:spacing w:line="360" w:lineRule="auto"/>
        <w:rPr>
          <w:rFonts w:ascii="Times New Roman" w:hAnsi="Times New Roman" w:cs="Times New Roman"/>
          <w:i/>
          <w:sz w:val="24"/>
          <w:lang w:val="es-CO"/>
        </w:rPr>
      </w:pPr>
      <w:r w:rsidRPr="004C3C9F">
        <w:rPr>
          <w:rFonts w:ascii="Times New Roman" w:hAnsi="Times New Roman" w:cs="Times New Roman"/>
          <w:b/>
          <w:sz w:val="24"/>
          <w:lang w:val="es-CO"/>
        </w:rPr>
        <w:t>Palabras Clave:</w:t>
      </w:r>
      <w:r>
        <w:rPr>
          <w:rFonts w:ascii="Times New Roman" w:hAnsi="Times New Roman" w:cs="Times New Roman"/>
          <w:i/>
          <w:sz w:val="24"/>
          <w:lang w:val="es-CO"/>
        </w:rPr>
        <w:t xml:space="preserve"> </w:t>
      </w:r>
      <w:r w:rsidRPr="004C3C9F">
        <w:rPr>
          <w:rFonts w:ascii="Times New Roman" w:hAnsi="Times New Roman" w:cs="Times New Roman"/>
          <w:i/>
          <w:sz w:val="24"/>
          <w:lang w:val="es-CO"/>
        </w:rPr>
        <w:t xml:space="preserve">Abajo del Resumen anotar, en orden alfabético y separadas por comas, entre 3 y </w:t>
      </w:r>
      <w:r w:rsidR="00B70D3D">
        <w:rPr>
          <w:rFonts w:ascii="Times New Roman" w:hAnsi="Times New Roman" w:cs="Times New Roman"/>
          <w:i/>
          <w:sz w:val="24"/>
          <w:lang w:val="es-CO"/>
        </w:rPr>
        <w:t>10</w:t>
      </w:r>
      <w:r w:rsidRPr="004C3C9F">
        <w:rPr>
          <w:rFonts w:ascii="Times New Roman" w:hAnsi="Times New Roman" w:cs="Times New Roman"/>
          <w:i/>
          <w:sz w:val="24"/>
          <w:lang w:val="es-CO"/>
        </w:rPr>
        <w:t xml:space="preserve"> Palabras clave que identifiquen los principales temas tratados</w:t>
      </w:r>
      <w:r>
        <w:rPr>
          <w:rFonts w:ascii="Times New Roman" w:hAnsi="Times New Roman" w:cs="Times New Roman"/>
          <w:i/>
          <w:sz w:val="24"/>
          <w:lang w:val="es-CO"/>
        </w:rPr>
        <w:t>.</w:t>
      </w:r>
    </w:p>
    <w:p w14:paraId="53BA9B6C" w14:textId="1D0D7742" w:rsidR="004C3C9F" w:rsidRDefault="004C3C9F" w:rsidP="004C3C9F">
      <w:pPr>
        <w:spacing w:before="240" w:line="360" w:lineRule="auto"/>
        <w:rPr>
          <w:rFonts w:ascii="Times New Roman" w:hAnsi="Times New Roman" w:cs="Times New Roman"/>
          <w:i/>
          <w:sz w:val="24"/>
          <w:lang w:val="en-US"/>
        </w:rPr>
      </w:pPr>
      <w:r w:rsidRPr="004C3C9F">
        <w:rPr>
          <w:rFonts w:ascii="Times New Roman" w:hAnsi="Times New Roman" w:cs="Times New Roman"/>
          <w:b/>
          <w:sz w:val="24"/>
          <w:lang w:val="en-US"/>
        </w:rPr>
        <w:t>Abstract:</w:t>
      </w:r>
      <w:r w:rsidRPr="004C3C9F">
        <w:rPr>
          <w:rFonts w:ascii="Times New Roman" w:hAnsi="Times New Roman" w:cs="Times New Roman"/>
          <w:i/>
          <w:sz w:val="24"/>
          <w:lang w:val="en-US"/>
        </w:rPr>
        <w:t xml:space="preserve"> In a single paragraph </w:t>
      </w:r>
      <w:r w:rsidR="00A77E5E" w:rsidRPr="00A77E5E">
        <w:rPr>
          <w:rFonts w:ascii="Times New Roman" w:hAnsi="Times New Roman" w:cs="Times New Roman"/>
          <w:i/>
          <w:sz w:val="24"/>
          <w:lang w:val="en-US"/>
        </w:rPr>
        <w:t>and between 200-250 words</w:t>
      </w:r>
      <w:r w:rsidRPr="004C3C9F">
        <w:rPr>
          <w:rFonts w:ascii="Times New Roman" w:hAnsi="Times New Roman" w:cs="Times New Roman"/>
          <w:i/>
          <w:sz w:val="24"/>
          <w:lang w:val="en-US"/>
        </w:rPr>
        <w:t>, indicate what was done and the main findings. The Summary should be informative and not just "promising". Bibliographic citations are not allowed. The articles that are submitted in the English language must have a summary in Spanish or Portuguese. It is essential that the information in the Summary be the same included in the Abstract (The summary will have to be in italics, Times New Roman 12).</w:t>
      </w:r>
    </w:p>
    <w:p w14:paraId="38E96197" w14:textId="25DD98DC" w:rsidR="004C3C9F" w:rsidRDefault="004C3C9F" w:rsidP="004C3C9F">
      <w:pPr>
        <w:spacing w:before="240" w:line="360" w:lineRule="auto"/>
        <w:rPr>
          <w:rFonts w:ascii="Times New Roman" w:hAnsi="Times New Roman" w:cs="Times New Roman"/>
          <w:i/>
          <w:sz w:val="24"/>
          <w:lang w:val="en-US"/>
        </w:rPr>
      </w:pPr>
      <w:r w:rsidRPr="004C3C9F">
        <w:rPr>
          <w:rFonts w:ascii="Times New Roman" w:hAnsi="Times New Roman" w:cs="Times New Roman"/>
          <w:b/>
          <w:sz w:val="24"/>
          <w:lang w:val="en-US"/>
        </w:rPr>
        <w:t>Keywords</w:t>
      </w:r>
      <w:r>
        <w:rPr>
          <w:rFonts w:ascii="Times New Roman" w:hAnsi="Times New Roman" w:cs="Times New Roman"/>
          <w:i/>
          <w:sz w:val="24"/>
          <w:lang w:val="en-US"/>
        </w:rPr>
        <w:t xml:space="preserve">: </w:t>
      </w:r>
      <w:r w:rsidRPr="004C3C9F">
        <w:rPr>
          <w:rFonts w:ascii="Times New Roman" w:hAnsi="Times New Roman" w:cs="Times New Roman"/>
          <w:i/>
          <w:sz w:val="24"/>
          <w:lang w:val="en-US"/>
        </w:rPr>
        <w:t xml:space="preserve">Below the </w:t>
      </w:r>
      <w:r>
        <w:rPr>
          <w:rFonts w:ascii="Times New Roman" w:hAnsi="Times New Roman" w:cs="Times New Roman"/>
          <w:i/>
          <w:sz w:val="24"/>
          <w:lang w:val="en-US"/>
        </w:rPr>
        <w:t>Abstract</w:t>
      </w:r>
      <w:r w:rsidRPr="004C3C9F">
        <w:rPr>
          <w:rFonts w:ascii="Times New Roman" w:hAnsi="Times New Roman" w:cs="Times New Roman"/>
          <w:i/>
          <w:sz w:val="24"/>
          <w:lang w:val="en-US"/>
        </w:rPr>
        <w:t xml:space="preserve"> note, in alphabetical order and separated by commas, between 3 and </w:t>
      </w:r>
      <w:r w:rsidR="00B70D3D">
        <w:rPr>
          <w:rFonts w:ascii="Times New Roman" w:hAnsi="Times New Roman" w:cs="Times New Roman"/>
          <w:i/>
          <w:sz w:val="24"/>
          <w:lang w:val="en-US"/>
        </w:rPr>
        <w:t>10</w:t>
      </w:r>
      <w:r w:rsidRPr="004C3C9F">
        <w:rPr>
          <w:rFonts w:ascii="Times New Roman" w:hAnsi="Times New Roman" w:cs="Times New Roman"/>
          <w:i/>
          <w:sz w:val="24"/>
          <w:lang w:val="en-US"/>
        </w:rPr>
        <w:t xml:space="preserve"> Keywords that identify the main topics covered</w:t>
      </w:r>
      <w:r>
        <w:rPr>
          <w:rFonts w:ascii="Times New Roman" w:hAnsi="Times New Roman" w:cs="Times New Roman"/>
          <w:i/>
          <w:sz w:val="24"/>
          <w:lang w:val="en-US"/>
        </w:rPr>
        <w:t>.</w:t>
      </w:r>
    </w:p>
    <w:p w14:paraId="5E0F95B9" w14:textId="77777777" w:rsidR="00DD3D6F" w:rsidRDefault="00DD3D6F" w:rsidP="004C3C9F">
      <w:pPr>
        <w:spacing w:before="240" w:line="360" w:lineRule="auto"/>
        <w:rPr>
          <w:rFonts w:ascii="Times New Roman" w:hAnsi="Times New Roman" w:cs="Times New Roman"/>
          <w:i/>
          <w:sz w:val="24"/>
          <w:lang w:val="en-US"/>
        </w:rPr>
        <w:sectPr w:rsidR="00DD3D6F" w:rsidSect="00B82D8F">
          <w:pgSz w:w="11906" w:h="16838"/>
          <w:pgMar w:top="1440" w:right="1080" w:bottom="1440" w:left="1080" w:header="708" w:footer="708" w:gutter="0"/>
          <w:cols w:space="708"/>
          <w:docGrid w:linePitch="360"/>
        </w:sectPr>
      </w:pPr>
    </w:p>
    <w:p w14:paraId="16EFB313" w14:textId="77777777" w:rsidR="00DD3D6F" w:rsidRPr="00DD3D6F" w:rsidRDefault="00DD3D6F" w:rsidP="00DD3D6F">
      <w:pPr>
        <w:spacing w:before="240" w:line="360" w:lineRule="auto"/>
        <w:jc w:val="center"/>
        <w:rPr>
          <w:rFonts w:ascii="Times New Roman" w:hAnsi="Times New Roman" w:cs="Times New Roman"/>
          <w:b/>
          <w:sz w:val="24"/>
          <w:lang w:val="es-CO"/>
        </w:rPr>
      </w:pPr>
      <w:r w:rsidRPr="00DD3D6F">
        <w:rPr>
          <w:rFonts w:ascii="Times New Roman" w:hAnsi="Times New Roman" w:cs="Times New Roman"/>
          <w:b/>
          <w:sz w:val="24"/>
          <w:lang w:val="es-CO"/>
        </w:rPr>
        <w:t>I. INTRODUCCIÓN</w:t>
      </w:r>
    </w:p>
    <w:p w14:paraId="04B5A3B7" w14:textId="7D81F8DA" w:rsidR="00DD3D6F" w:rsidRDefault="00DD3D6F" w:rsidP="00DD3D6F">
      <w:pPr>
        <w:spacing w:before="240" w:line="360" w:lineRule="auto"/>
        <w:jc w:val="both"/>
        <w:rPr>
          <w:rFonts w:ascii="Times New Roman" w:hAnsi="Times New Roman" w:cs="Times New Roman"/>
          <w:sz w:val="24"/>
          <w:lang w:val="es-CO"/>
        </w:rPr>
      </w:pPr>
      <w:r w:rsidRPr="00DD3D6F">
        <w:rPr>
          <w:rFonts w:ascii="Times New Roman" w:hAnsi="Times New Roman" w:cs="Times New Roman"/>
          <w:sz w:val="24"/>
          <w:lang w:val="es-CO"/>
        </w:rPr>
        <w:t xml:space="preserve">Se presenta en forma precisa el problema, los objetivos o las hipótesis que serán probadas, desarrollando los antecedentes con suficiente respaldo bibliográfico a partir de trabajos recientes relacionados con el tema, provenientes de publicaciones arbitradas. </w:t>
      </w:r>
      <w:r w:rsidR="00B85A17">
        <w:rPr>
          <w:rFonts w:ascii="Times New Roman" w:hAnsi="Times New Roman" w:cs="Times New Roman"/>
          <w:sz w:val="24"/>
          <w:lang w:val="es-CO"/>
        </w:rPr>
        <w:t>S</w:t>
      </w:r>
      <w:r w:rsidRPr="00DD3D6F">
        <w:rPr>
          <w:rFonts w:ascii="Times New Roman" w:hAnsi="Times New Roman" w:cs="Times New Roman"/>
          <w:sz w:val="24"/>
          <w:lang w:val="es-CO"/>
        </w:rPr>
        <w:t>e establece el propósito y fundamentación del trabajo, que se espera obtener y desde qu</w:t>
      </w:r>
      <w:r w:rsidR="00B85A17">
        <w:rPr>
          <w:rFonts w:ascii="Times New Roman" w:hAnsi="Times New Roman" w:cs="Times New Roman"/>
          <w:sz w:val="24"/>
          <w:lang w:val="es-CO"/>
        </w:rPr>
        <w:t>é</w:t>
      </w:r>
      <w:r w:rsidRPr="00DD3D6F">
        <w:rPr>
          <w:rFonts w:ascii="Times New Roman" w:hAnsi="Times New Roman" w:cs="Times New Roman"/>
          <w:sz w:val="24"/>
          <w:lang w:val="es-CO"/>
        </w:rPr>
        <w:t xml:space="preserve"> perspectiva.</w:t>
      </w:r>
      <w:r w:rsidR="00B85A17" w:rsidRPr="00B85A17">
        <w:rPr>
          <w:rFonts w:ascii="Times New Roman" w:hAnsi="Times New Roman" w:cs="Times New Roman"/>
          <w:sz w:val="24"/>
          <w:lang w:val="es-CO"/>
        </w:rPr>
        <w:t xml:space="preserve"> </w:t>
      </w:r>
      <w:r w:rsidR="00B85A17">
        <w:rPr>
          <w:rFonts w:ascii="Times New Roman" w:hAnsi="Times New Roman" w:cs="Times New Roman"/>
          <w:sz w:val="24"/>
          <w:lang w:val="es-CO"/>
        </w:rPr>
        <w:t>En el último párrafo s</w:t>
      </w:r>
      <w:r w:rsidR="00B85A17" w:rsidRPr="00DD3D6F">
        <w:rPr>
          <w:rFonts w:ascii="Times New Roman" w:hAnsi="Times New Roman" w:cs="Times New Roman"/>
          <w:sz w:val="24"/>
          <w:lang w:val="es-CO"/>
        </w:rPr>
        <w:t xml:space="preserve">e </w:t>
      </w:r>
      <w:r w:rsidR="00B85A17">
        <w:rPr>
          <w:rFonts w:ascii="Times New Roman" w:hAnsi="Times New Roman" w:cs="Times New Roman"/>
          <w:sz w:val="24"/>
          <w:lang w:val="es-CO"/>
        </w:rPr>
        <w:t>deb</w:t>
      </w:r>
      <w:r w:rsidR="00B85A17" w:rsidRPr="00DD3D6F">
        <w:rPr>
          <w:rFonts w:ascii="Times New Roman" w:hAnsi="Times New Roman" w:cs="Times New Roman"/>
          <w:sz w:val="24"/>
          <w:lang w:val="es-CO"/>
        </w:rPr>
        <w:t>e</w:t>
      </w:r>
      <w:r w:rsidR="00B85A17">
        <w:rPr>
          <w:rFonts w:ascii="Times New Roman" w:hAnsi="Times New Roman" w:cs="Times New Roman"/>
          <w:sz w:val="24"/>
          <w:lang w:val="es-CO"/>
        </w:rPr>
        <w:t xml:space="preserve"> dejar </w:t>
      </w:r>
      <w:r w:rsidR="00B85A17">
        <w:rPr>
          <w:rFonts w:ascii="Times New Roman" w:hAnsi="Times New Roman" w:cs="Times New Roman"/>
          <w:sz w:val="24"/>
          <w:lang w:val="es-CO"/>
        </w:rPr>
        <w:t>de forma explícita el objetivo del trabajo.</w:t>
      </w:r>
    </w:p>
    <w:p w14:paraId="475665B8" w14:textId="27901EAA" w:rsidR="00881D19" w:rsidRDefault="00881D19" w:rsidP="00FF4845">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lastRenderedPageBreak/>
        <w:t>E</w:t>
      </w:r>
      <w:r w:rsidRPr="00881D19">
        <w:rPr>
          <w:rFonts w:ascii="Times New Roman" w:hAnsi="Times New Roman" w:cs="Times New Roman"/>
          <w:sz w:val="24"/>
          <w:lang w:val="es-CO"/>
        </w:rPr>
        <w:t xml:space="preserve">ste documento provee un ejemplo del formato deseado para la presentación de trabajos a la Revista </w:t>
      </w:r>
      <w:r>
        <w:rPr>
          <w:rFonts w:ascii="Times New Roman" w:hAnsi="Times New Roman" w:cs="Times New Roman"/>
          <w:sz w:val="24"/>
          <w:lang w:val="es-CO"/>
        </w:rPr>
        <w:t>de Investigación Talentos</w:t>
      </w:r>
      <w:r w:rsidRPr="00881D19">
        <w:rPr>
          <w:rFonts w:ascii="Times New Roman" w:hAnsi="Times New Roman" w:cs="Times New Roman"/>
          <w:sz w:val="24"/>
          <w:lang w:val="es-CO"/>
        </w:rPr>
        <w:t>.</w:t>
      </w:r>
    </w:p>
    <w:p w14:paraId="58890D33" w14:textId="77777777" w:rsidR="00FF4845" w:rsidRPr="00FF4845" w:rsidRDefault="00FF4845" w:rsidP="00513AE6">
      <w:pPr>
        <w:pStyle w:val="Text"/>
        <w:spacing w:before="240" w:line="360" w:lineRule="auto"/>
        <w:ind w:firstLine="0"/>
        <w:rPr>
          <w:i/>
          <w:sz w:val="24"/>
          <w:szCs w:val="24"/>
          <w:lang w:val="es-CO"/>
        </w:rPr>
      </w:pPr>
      <w:r w:rsidRPr="00FF4845">
        <w:rPr>
          <w:b/>
          <w:sz w:val="24"/>
          <w:szCs w:val="24"/>
          <w:lang w:val="es-CO"/>
        </w:rPr>
        <w:t>A</w:t>
      </w:r>
      <w:r>
        <w:rPr>
          <w:i/>
          <w:sz w:val="24"/>
          <w:szCs w:val="24"/>
          <w:lang w:val="es-CO"/>
        </w:rPr>
        <w:t xml:space="preserve">. </w:t>
      </w:r>
      <w:r w:rsidRPr="00FF4845">
        <w:rPr>
          <w:i/>
          <w:sz w:val="24"/>
          <w:szCs w:val="24"/>
          <w:lang w:val="es-CO"/>
        </w:rPr>
        <w:t>Preparando su trabajo digital</w:t>
      </w:r>
    </w:p>
    <w:p w14:paraId="1CCC30B3" w14:textId="55F3B023" w:rsidR="00513AE6" w:rsidRDefault="00FF4845" w:rsidP="00513AE6">
      <w:pPr>
        <w:pStyle w:val="Text"/>
        <w:spacing w:line="360" w:lineRule="auto"/>
        <w:ind w:firstLine="0"/>
        <w:rPr>
          <w:sz w:val="24"/>
          <w:szCs w:val="24"/>
          <w:lang w:val="es-MX"/>
        </w:rPr>
      </w:pPr>
      <w:r w:rsidRPr="00FF4845">
        <w:rPr>
          <w:sz w:val="24"/>
          <w:szCs w:val="24"/>
          <w:lang w:val="es-MX"/>
        </w:rPr>
        <w:t xml:space="preserve">Prepare su trabajo en un formato A4 </w:t>
      </w:r>
      <w:r w:rsidR="00AC3F1E">
        <w:rPr>
          <w:sz w:val="24"/>
          <w:szCs w:val="24"/>
          <w:lang w:val="es-MX"/>
        </w:rPr>
        <w:t>a hoja completa</w:t>
      </w:r>
      <w:r w:rsidR="00513AE6">
        <w:rPr>
          <w:sz w:val="24"/>
          <w:szCs w:val="24"/>
          <w:lang w:val="es-MX"/>
        </w:rPr>
        <w:t>.</w:t>
      </w:r>
    </w:p>
    <w:p w14:paraId="60750E54" w14:textId="77777777" w:rsidR="00513AE6" w:rsidRDefault="00513AE6" w:rsidP="00513AE6">
      <w:pPr>
        <w:pStyle w:val="Text"/>
        <w:spacing w:before="240" w:line="360" w:lineRule="auto"/>
        <w:ind w:firstLine="0"/>
        <w:rPr>
          <w:sz w:val="24"/>
          <w:szCs w:val="24"/>
          <w:lang w:val="es-MX"/>
        </w:rPr>
      </w:pPr>
      <w:r w:rsidRPr="00513AE6">
        <w:rPr>
          <w:b/>
          <w:sz w:val="24"/>
          <w:szCs w:val="24"/>
          <w:lang w:val="es-MX"/>
        </w:rPr>
        <w:t>B.</w:t>
      </w:r>
      <w:r>
        <w:rPr>
          <w:sz w:val="24"/>
          <w:szCs w:val="24"/>
          <w:lang w:val="es-MX"/>
        </w:rPr>
        <w:t xml:space="preserve"> </w:t>
      </w:r>
      <w:r w:rsidRPr="00513AE6">
        <w:rPr>
          <w:i/>
          <w:sz w:val="24"/>
          <w:szCs w:val="24"/>
          <w:lang w:val="es-MX"/>
        </w:rPr>
        <w:t>Tablas</w:t>
      </w:r>
    </w:p>
    <w:p w14:paraId="05B39B6A" w14:textId="31FDF215" w:rsidR="00513AE6" w:rsidRDefault="00B70D3D" w:rsidP="00513AE6">
      <w:pPr>
        <w:pStyle w:val="Text"/>
        <w:spacing w:before="240" w:line="360" w:lineRule="auto"/>
        <w:ind w:firstLine="0"/>
        <w:rPr>
          <w:sz w:val="24"/>
          <w:szCs w:val="24"/>
          <w:lang w:val="es-MX"/>
        </w:rPr>
      </w:pPr>
      <w:r w:rsidRPr="00B70D3D">
        <w:rPr>
          <w:sz w:val="22"/>
          <w:lang w:val="es-MX"/>
        </w:rPr>
        <w:t>Las tablas deben ser mencionadas, discutidas y referenciadas en el texto.</w:t>
      </w:r>
      <w:r>
        <w:rPr>
          <w:sz w:val="22"/>
          <w:lang w:val="es-MX"/>
        </w:rPr>
        <w:t xml:space="preserve"> </w:t>
      </w:r>
      <w:r w:rsidR="00513AE6" w:rsidRPr="00513AE6">
        <w:rPr>
          <w:sz w:val="22"/>
          <w:lang w:val="es-MX"/>
        </w:rPr>
        <w:t xml:space="preserve">La posición de tablas estará en la parte superior o inferior de la columna.  Evite localizarlos en el medio de </w:t>
      </w:r>
      <w:r w:rsidR="008F1522" w:rsidRPr="00513AE6">
        <w:rPr>
          <w:sz w:val="22"/>
          <w:lang w:val="es-MX"/>
        </w:rPr>
        <w:t>esta</w:t>
      </w:r>
      <w:r w:rsidR="00513AE6" w:rsidRPr="00513AE6">
        <w:rPr>
          <w:sz w:val="22"/>
          <w:lang w:val="es-MX"/>
        </w:rPr>
        <w:t xml:space="preserve">.  Las figuras y tablas grandes pueden expandirse abarcando ambas columnas.  Los </w:t>
      </w:r>
      <w:r w:rsidR="00513AE6">
        <w:rPr>
          <w:sz w:val="22"/>
          <w:lang w:val="es-MX"/>
        </w:rPr>
        <w:t xml:space="preserve">títulos </w:t>
      </w:r>
      <w:r w:rsidR="00513AE6" w:rsidRPr="00513AE6">
        <w:rPr>
          <w:sz w:val="22"/>
          <w:lang w:val="es-MX"/>
        </w:rPr>
        <w:t xml:space="preserve">de las tablas deben estar centrados en la columna </w:t>
      </w:r>
      <w:r w:rsidR="00513AE6">
        <w:rPr>
          <w:sz w:val="22"/>
          <w:lang w:val="es-MX"/>
        </w:rPr>
        <w:t>sobre</w:t>
      </w:r>
      <w:r w:rsidR="00513AE6" w:rsidRPr="00513AE6">
        <w:rPr>
          <w:sz w:val="22"/>
          <w:lang w:val="es-MX"/>
        </w:rPr>
        <w:t xml:space="preserve"> las tablas</w:t>
      </w:r>
      <w:r w:rsidR="00513AE6">
        <w:rPr>
          <w:sz w:val="22"/>
          <w:lang w:val="es-MX"/>
        </w:rPr>
        <w:t xml:space="preserve">, </w:t>
      </w:r>
      <w:r w:rsidR="00513AE6" w:rsidRPr="00513AE6">
        <w:rPr>
          <w:sz w:val="22"/>
          <w:lang w:val="es-MX"/>
        </w:rPr>
        <w:t xml:space="preserve">Los </w:t>
      </w:r>
      <w:r w:rsidR="00513AE6">
        <w:rPr>
          <w:sz w:val="22"/>
          <w:lang w:val="es-MX"/>
        </w:rPr>
        <w:t xml:space="preserve">títulos </w:t>
      </w:r>
      <w:r w:rsidR="00513AE6" w:rsidRPr="00513AE6">
        <w:rPr>
          <w:sz w:val="22"/>
          <w:lang w:val="es-MX"/>
        </w:rPr>
        <w:t xml:space="preserve">deben estar centrados en la columna </w:t>
      </w:r>
      <w:r w:rsidR="00513AE6">
        <w:rPr>
          <w:sz w:val="22"/>
          <w:lang w:val="es-MX"/>
        </w:rPr>
        <w:t>bajo las figuras</w:t>
      </w:r>
      <w:r w:rsidR="00513AE6" w:rsidRPr="00513AE6">
        <w:rPr>
          <w:sz w:val="22"/>
          <w:lang w:val="es-MX"/>
        </w:rPr>
        <w:t>.  Evite colocar figuras y tablas antes de la primera mención en el texto.  Use la abreviación “Fig. 1,” incluso en el comienzo de una oración.</w:t>
      </w:r>
    </w:p>
    <w:p w14:paraId="565DDE64" w14:textId="77777777" w:rsidR="00513AE6" w:rsidRPr="00513AE6" w:rsidRDefault="00513AE6" w:rsidP="00513AE6">
      <w:pPr>
        <w:pStyle w:val="Text"/>
        <w:spacing w:before="240" w:line="360" w:lineRule="auto"/>
        <w:ind w:firstLine="0"/>
        <w:rPr>
          <w:sz w:val="24"/>
          <w:szCs w:val="24"/>
          <w:lang w:val="es-MX"/>
        </w:rPr>
      </w:pPr>
      <w:r w:rsidRPr="00513AE6">
        <w:rPr>
          <w:sz w:val="22"/>
          <w:lang w:val="es-MX"/>
        </w:rPr>
        <w:t>Las etiquetas de las figuras deben ser legibles, consideramos alr</w:t>
      </w:r>
      <w:r>
        <w:rPr>
          <w:sz w:val="22"/>
          <w:lang w:val="es-MX"/>
        </w:rPr>
        <w:t>ededor de un tamaño 10</w:t>
      </w:r>
      <w:r w:rsidRPr="00513AE6">
        <w:rPr>
          <w:sz w:val="22"/>
          <w:lang w:val="es-MX"/>
        </w:rPr>
        <w:t>.</w:t>
      </w:r>
    </w:p>
    <w:p w14:paraId="6A297499" w14:textId="77777777" w:rsidR="00513AE6" w:rsidRDefault="005924F4" w:rsidP="00513AE6">
      <w:pPr>
        <w:pStyle w:val="Text"/>
        <w:spacing w:before="240" w:line="360" w:lineRule="auto"/>
        <w:ind w:firstLine="0"/>
        <w:rPr>
          <w:sz w:val="24"/>
          <w:szCs w:val="24"/>
          <w:lang w:val="es-MX"/>
        </w:rPr>
      </w:pPr>
      <w:r>
        <w:rPr>
          <w:b/>
          <w:sz w:val="24"/>
          <w:szCs w:val="24"/>
          <w:lang w:val="es-MX"/>
        </w:rPr>
        <w:t>C</w:t>
      </w:r>
      <w:r w:rsidR="00513AE6" w:rsidRPr="00513AE6">
        <w:rPr>
          <w:b/>
          <w:sz w:val="24"/>
          <w:szCs w:val="24"/>
          <w:lang w:val="es-MX"/>
        </w:rPr>
        <w:t>.</w:t>
      </w:r>
      <w:r w:rsidR="00513AE6">
        <w:rPr>
          <w:sz w:val="24"/>
          <w:szCs w:val="24"/>
          <w:lang w:val="es-MX"/>
        </w:rPr>
        <w:t xml:space="preserve"> </w:t>
      </w:r>
      <w:r w:rsidR="00FF4845" w:rsidRPr="00FF4845">
        <w:rPr>
          <w:i/>
          <w:sz w:val="24"/>
          <w:szCs w:val="24"/>
          <w:lang w:val="es-MX"/>
        </w:rPr>
        <w:t>Tamaño y tipo de fuente</w:t>
      </w:r>
    </w:p>
    <w:p w14:paraId="536AFC5B" w14:textId="77777777" w:rsidR="00513AE6" w:rsidRDefault="00FF4845" w:rsidP="00513AE6">
      <w:pPr>
        <w:pStyle w:val="Text"/>
        <w:spacing w:line="360" w:lineRule="auto"/>
        <w:ind w:firstLine="0"/>
        <w:rPr>
          <w:sz w:val="24"/>
          <w:szCs w:val="24"/>
          <w:lang w:val="es-MX"/>
        </w:rPr>
      </w:pPr>
      <w:r w:rsidRPr="00FF4845">
        <w:rPr>
          <w:sz w:val="24"/>
          <w:szCs w:val="24"/>
          <w:lang w:val="es-MX"/>
        </w:rPr>
        <w:t>Los tamaños están especificados en la Tabla I.  Como una ayuda para determinar el tamaño de la le</w:t>
      </w:r>
      <w:r w:rsidR="00513AE6">
        <w:rPr>
          <w:sz w:val="24"/>
          <w:szCs w:val="24"/>
          <w:lang w:val="es-MX"/>
        </w:rPr>
        <w:t>tra,</w:t>
      </w:r>
      <w:r w:rsidRPr="00FF4845">
        <w:rPr>
          <w:sz w:val="24"/>
          <w:szCs w:val="24"/>
          <w:lang w:val="es-MX"/>
        </w:rPr>
        <w:t xml:space="preserve"> Time New </w:t>
      </w:r>
      <w:proofErr w:type="spellStart"/>
      <w:r w:rsidRPr="00FF4845">
        <w:rPr>
          <w:sz w:val="24"/>
          <w:szCs w:val="24"/>
          <w:lang w:val="es-MX"/>
        </w:rPr>
        <w:t>Roman</w:t>
      </w:r>
      <w:proofErr w:type="spellEnd"/>
      <w:r w:rsidRPr="00FF4845">
        <w:rPr>
          <w:sz w:val="24"/>
          <w:szCs w:val="24"/>
          <w:lang w:val="es-MX"/>
        </w:rPr>
        <w:t xml:space="preserve"> es la fuente preferida</w:t>
      </w:r>
      <w:r w:rsidR="00513AE6">
        <w:rPr>
          <w:sz w:val="24"/>
          <w:szCs w:val="24"/>
          <w:lang w:val="es-MX"/>
        </w:rPr>
        <w:t>.</w:t>
      </w:r>
    </w:p>
    <w:p w14:paraId="4A6002AE" w14:textId="77777777" w:rsidR="00513AE6" w:rsidRPr="00AC3F1E" w:rsidRDefault="00513AE6" w:rsidP="00513AE6">
      <w:pPr>
        <w:pStyle w:val="Text"/>
        <w:spacing w:line="360" w:lineRule="auto"/>
        <w:ind w:firstLine="0"/>
        <w:jc w:val="center"/>
        <w:rPr>
          <w:b/>
          <w:sz w:val="18"/>
          <w:szCs w:val="18"/>
          <w:lang w:val="es-MX"/>
        </w:rPr>
      </w:pPr>
      <w:r w:rsidRPr="00AC3F1E">
        <w:rPr>
          <w:b/>
          <w:sz w:val="18"/>
          <w:szCs w:val="18"/>
          <w:lang w:val="es-MX"/>
        </w:rPr>
        <w:t xml:space="preserve">TABLA I. </w:t>
      </w:r>
    </w:p>
    <w:p w14:paraId="60539BF5" w14:textId="77777777" w:rsidR="00513AE6" w:rsidRPr="00AC3F1E" w:rsidRDefault="00513AE6" w:rsidP="00513AE6">
      <w:pPr>
        <w:pStyle w:val="Text"/>
        <w:spacing w:line="360" w:lineRule="auto"/>
        <w:ind w:firstLine="0"/>
        <w:jc w:val="center"/>
        <w:rPr>
          <w:b/>
          <w:sz w:val="18"/>
          <w:szCs w:val="18"/>
          <w:lang w:val="es-MX"/>
        </w:rPr>
      </w:pPr>
      <w:r w:rsidRPr="00AC3F1E">
        <w:rPr>
          <w:b/>
          <w:sz w:val="18"/>
          <w:szCs w:val="18"/>
          <w:lang w:val="es-MX"/>
        </w:rPr>
        <w:t>TAMAÑOS, ESTILOS DE LETRAS Y POSICIÓN DE LOS TÍTULOS Y LEYENDAS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765"/>
        <w:gridCol w:w="1537"/>
      </w:tblGrid>
      <w:tr w:rsidR="00AC3F1E" w:rsidRPr="00513AE6" w14:paraId="37F97FB4" w14:textId="77777777" w:rsidTr="00B82D8F">
        <w:trPr>
          <w:jc w:val="center"/>
        </w:trPr>
        <w:tc>
          <w:tcPr>
            <w:tcW w:w="1207" w:type="dxa"/>
            <w:tcBorders>
              <w:top w:val="single" w:sz="4" w:space="0" w:color="auto"/>
              <w:bottom w:val="single" w:sz="4" w:space="0" w:color="auto"/>
            </w:tcBorders>
            <w:hideMark/>
          </w:tcPr>
          <w:p w14:paraId="0293028A" w14:textId="77777777" w:rsidR="00513AE6" w:rsidRPr="00513AE6" w:rsidRDefault="00513AE6" w:rsidP="00513AE6">
            <w:pPr>
              <w:rPr>
                <w:rFonts w:ascii="Times New Roman" w:eastAsia="Times New Roman" w:hAnsi="Times New Roman" w:cs="Times New Roman"/>
                <w:sz w:val="18"/>
                <w:szCs w:val="20"/>
                <w:lang w:val="es-CO" w:eastAsia="es-CO"/>
              </w:rPr>
            </w:pPr>
            <w:r w:rsidRPr="00AC3F1E">
              <w:rPr>
                <w:rFonts w:ascii="Times New Roman" w:eastAsia="Times New Roman" w:hAnsi="Times New Roman" w:cs="Times New Roman"/>
                <w:b/>
                <w:bCs/>
                <w:sz w:val="18"/>
                <w:szCs w:val="20"/>
                <w:lang w:val="es-CO" w:eastAsia="es-CO"/>
              </w:rPr>
              <w:t>Sección</w:t>
            </w:r>
          </w:p>
        </w:tc>
        <w:tc>
          <w:tcPr>
            <w:tcW w:w="1765" w:type="dxa"/>
            <w:tcBorders>
              <w:top w:val="single" w:sz="4" w:space="0" w:color="auto"/>
              <w:bottom w:val="single" w:sz="4" w:space="0" w:color="auto"/>
            </w:tcBorders>
            <w:hideMark/>
          </w:tcPr>
          <w:p w14:paraId="5CD51743" w14:textId="77777777" w:rsidR="00513AE6" w:rsidRPr="00513AE6" w:rsidRDefault="00513AE6" w:rsidP="00513AE6">
            <w:pPr>
              <w:rPr>
                <w:rFonts w:ascii="Times New Roman" w:eastAsia="Times New Roman" w:hAnsi="Times New Roman" w:cs="Times New Roman"/>
                <w:sz w:val="18"/>
                <w:szCs w:val="20"/>
                <w:lang w:val="es-CO" w:eastAsia="es-CO"/>
              </w:rPr>
            </w:pPr>
            <w:r w:rsidRPr="00AC3F1E">
              <w:rPr>
                <w:rFonts w:ascii="Times New Roman" w:eastAsia="Times New Roman" w:hAnsi="Times New Roman" w:cs="Times New Roman"/>
                <w:b/>
                <w:bCs/>
                <w:sz w:val="18"/>
                <w:szCs w:val="20"/>
                <w:lang w:val="es-CO" w:eastAsia="es-CO"/>
              </w:rPr>
              <w:t>Estilo</w:t>
            </w:r>
          </w:p>
        </w:tc>
        <w:tc>
          <w:tcPr>
            <w:tcW w:w="1537" w:type="dxa"/>
            <w:tcBorders>
              <w:top w:val="single" w:sz="4" w:space="0" w:color="auto"/>
              <w:bottom w:val="single" w:sz="4" w:space="0" w:color="auto"/>
            </w:tcBorders>
            <w:hideMark/>
          </w:tcPr>
          <w:p w14:paraId="75EA48D8" w14:textId="77777777" w:rsidR="00513AE6" w:rsidRPr="00513AE6" w:rsidRDefault="00513AE6" w:rsidP="00513AE6">
            <w:pPr>
              <w:rPr>
                <w:rFonts w:ascii="Times New Roman" w:eastAsia="Times New Roman" w:hAnsi="Times New Roman" w:cs="Times New Roman"/>
                <w:sz w:val="18"/>
                <w:szCs w:val="20"/>
                <w:lang w:val="es-CO" w:eastAsia="es-CO"/>
              </w:rPr>
            </w:pPr>
            <w:r w:rsidRPr="00AC3F1E">
              <w:rPr>
                <w:rFonts w:ascii="Times New Roman" w:eastAsia="Times New Roman" w:hAnsi="Times New Roman" w:cs="Times New Roman"/>
                <w:b/>
                <w:bCs/>
                <w:sz w:val="18"/>
                <w:szCs w:val="20"/>
                <w:lang w:val="es-CO" w:eastAsia="es-CO"/>
              </w:rPr>
              <w:t>Posición</w:t>
            </w:r>
          </w:p>
        </w:tc>
      </w:tr>
      <w:tr w:rsidR="00AC3F1E" w:rsidRPr="00513AE6" w14:paraId="21EA97F4" w14:textId="77777777" w:rsidTr="00B82D8F">
        <w:trPr>
          <w:jc w:val="center"/>
        </w:trPr>
        <w:tc>
          <w:tcPr>
            <w:tcW w:w="1207" w:type="dxa"/>
            <w:tcBorders>
              <w:top w:val="single" w:sz="4" w:space="0" w:color="auto"/>
              <w:bottom w:val="single" w:sz="4" w:space="0" w:color="auto"/>
            </w:tcBorders>
            <w:hideMark/>
          </w:tcPr>
          <w:p w14:paraId="79A4F255"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principal    </w:t>
            </w:r>
          </w:p>
        </w:tc>
        <w:tc>
          <w:tcPr>
            <w:tcW w:w="1765" w:type="dxa"/>
            <w:tcBorders>
              <w:top w:val="single" w:sz="4" w:space="0" w:color="auto"/>
              <w:bottom w:val="single" w:sz="4" w:space="0" w:color="auto"/>
            </w:tcBorders>
            <w:hideMark/>
          </w:tcPr>
          <w:p w14:paraId="47F18DD5"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negrilla, TNR 16</w:t>
            </w:r>
          </w:p>
        </w:tc>
        <w:tc>
          <w:tcPr>
            <w:tcW w:w="1537" w:type="dxa"/>
            <w:tcBorders>
              <w:top w:val="single" w:sz="4" w:space="0" w:color="auto"/>
              <w:bottom w:val="single" w:sz="4" w:space="0" w:color="auto"/>
            </w:tcBorders>
            <w:hideMark/>
          </w:tcPr>
          <w:p w14:paraId="18DAEE09"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Centrada</w:t>
            </w:r>
          </w:p>
        </w:tc>
      </w:tr>
      <w:tr w:rsidR="00AC3F1E" w:rsidRPr="00513AE6" w14:paraId="1E91FB0F" w14:textId="77777777" w:rsidTr="00B82D8F">
        <w:trPr>
          <w:jc w:val="center"/>
        </w:trPr>
        <w:tc>
          <w:tcPr>
            <w:tcW w:w="1207" w:type="dxa"/>
            <w:tcBorders>
              <w:top w:val="single" w:sz="4" w:space="0" w:color="auto"/>
              <w:bottom w:val="single" w:sz="4" w:space="0" w:color="auto"/>
            </w:tcBorders>
            <w:hideMark/>
          </w:tcPr>
          <w:p w14:paraId="3FD42676" w14:textId="77777777" w:rsidR="00513AE6" w:rsidRPr="00513AE6" w:rsidRDefault="00AC3F1E" w:rsidP="00AC3F1E">
            <w:pPr>
              <w:rPr>
                <w:rFonts w:ascii="Times New Roman" w:eastAsia="Times New Roman" w:hAnsi="Times New Roman" w:cs="Times New Roman"/>
                <w:sz w:val="18"/>
                <w:szCs w:val="20"/>
                <w:lang w:val="es-CO" w:eastAsia="es-CO"/>
              </w:rPr>
            </w:pPr>
            <w:r>
              <w:rPr>
                <w:rFonts w:ascii="Times New Roman" w:eastAsia="Times New Roman" w:hAnsi="Times New Roman" w:cs="Times New Roman"/>
                <w:sz w:val="18"/>
                <w:szCs w:val="20"/>
                <w:lang w:val="es-CO" w:eastAsia="es-CO"/>
              </w:rPr>
              <w:t xml:space="preserve">Título en Ingles </w:t>
            </w:r>
          </w:p>
        </w:tc>
        <w:tc>
          <w:tcPr>
            <w:tcW w:w="1765" w:type="dxa"/>
            <w:tcBorders>
              <w:top w:val="single" w:sz="4" w:space="0" w:color="auto"/>
              <w:bottom w:val="single" w:sz="4" w:space="0" w:color="auto"/>
            </w:tcBorders>
            <w:hideMark/>
          </w:tcPr>
          <w:p w14:paraId="48D446E5"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TNR 12</w:t>
            </w:r>
          </w:p>
        </w:tc>
        <w:tc>
          <w:tcPr>
            <w:tcW w:w="1537" w:type="dxa"/>
            <w:tcBorders>
              <w:top w:val="single" w:sz="4" w:space="0" w:color="auto"/>
              <w:bottom w:val="single" w:sz="4" w:space="0" w:color="auto"/>
            </w:tcBorders>
            <w:hideMark/>
          </w:tcPr>
          <w:p w14:paraId="12B0AAB7"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Centrada</w:t>
            </w:r>
          </w:p>
        </w:tc>
      </w:tr>
      <w:tr w:rsidR="00AC3F1E" w:rsidRPr="00513AE6" w14:paraId="601F5CA7" w14:textId="77777777" w:rsidTr="00B82D8F">
        <w:trPr>
          <w:jc w:val="center"/>
        </w:trPr>
        <w:tc>
          <w:tcPr>
            <w:tcW w:w="1207" w:type="dxa"/>
            <w:tcBorders>
              <w:top w:val="single" w:sz="4" w:space="0" w:color="auto"/>
              <w:bottom w:val="single" w:sz="4" w:space="0" w:color="auto"/>
            </w:tcBorders>
            <w:hideMark/>
          </w:tcPr>
          <w:p w14:paraId="61593A5A"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de subsección</w:t>
            </w:r>
          </w:p>
        </w:tc>
        <w:tc>
          <w:tcPr>
            <w:tcW w:w="1765" w:type="dxa"/>
            <w:tcBorders>
              <w:top w:val="single" w:sz="4" w:space="0" w:color="auto"/>
              <w:bottom w:val="single" w:sz="4" w:space="0" w:color="auto"/>
            </w:tcBorders>
            <w:hideMark/>
          </w:tcPr>
          <w:p w14:paraId="3720689C"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 cursiva, TNR 12, con numeración en letras mayúsculas en orden alfabético.</w:t>
            </w:r>
          </w:p>
        </w:tc>
        <w:tc>
          <w:tcPr>
            <w:tcW w:w="1537" w:type="dxa"/>
            <w:tcBorders>
              <w:top w:val="single" w:sz="4" w:space="0" w:color="auto"/>
              <w:bottom w:val="single" w:sz="4" w:space="0" w:color="auto"/>
            </w:tcBorders>
            <w:hideMark/>
          </w:tcPr>
          <w:p w14:paraId="715A014F"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 xml:space="preserve">Al margen izquierdo. Ej.: </w:t>
            </w:r>
          </w:p>
          <w:p w14:paraId="24F12F55" w14:textId="77777777" w:rsidR="00513AE6" w:rsidRPr="00513AE6" w:rsidRDefault="00513AE6" w:rsidP="00AC3F1E">
            <w:pPr>
              <w:numPr>
                <w:ilvl w:val="0"/>
                <w:numId w:val="3"/>
              </w:numPr>
              <w:spacing w:before="100" w:beforeAutospacing="1" w:after="100" w:afterAutospacing="1"/>
              <w:ind w:left="336"/>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Área de estudio</w:t>
            </w:r>
          </w:p>
          <w:p w14:paraId="53B19EA1" w14:textId="77777777" w:rsidR="00513AE6" w:rsidRPr="00513AE6" w:rsidRDefault="00513AE6" w:rsidP="00AC3F1E">
            <w:pPr>
              <w:numPr>
                <w:ilvl w:val="0"/>
                <w:numId w:val="3"/>
              </w:numPr>
              <w:spacing w:before="100" w:beforeAutospacing="1" w:after="100" w:afterAutospacing="1"/>
              <w:ind w:left="336"/>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Método estadístico</w:t>
            </w:r>
          </w:p>
        </w:tc>
      </w:tr>
      <w:tr w:rsidR="00AC3F1E" w:rsidRPr="00513AE6" w14:paraId="096A8633" w14:textId="77777777" w:rsidTr="00B82D8F">
        <w:trPr>
          <w:jc w:val="center"/>
        </w:trPr>
        <w:tc>
          <w:tcPr>
            <w:tcW w:w="1207" w:type="dxa"/>
            <w:tcBorders>
              <w:top w:val="single" w:sz="4" w:space="0" w:color="auto"/>
              <w:bottom w:val="single" w:sz="4" w:space="0" w:color="auto"/>
            </w:tcBorders>
            <w:hideMark/>
          </w:tcPr>
          <w:p w14:paraId="2E326E87"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de tabla</w:t>
            </w:r>
          </w:p>
        </w:tc>
        <w:tc>
          <w:tcPr>
            <w:tcW w:w="1765" w:type="dxa"/>
            <w:tcBorders>
              <w:top w:val="single" w:sz="4" w:space="0" w:color="auto"/>
              <w:bottom w:val="single" w:sz="4" w:space="0" w:color="auto"/>
            </w:tcBorders>
            <w:hideMark/>
          </w:tcPr>
          <w:p w14:paraId="5FC6EE2F"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TNR10</w:t>
            </w:r>
          </w:p>
        </w:tc>
        <w:tc>
          <w:tcPr>
            <w:tcW w:w="1537" w:type="dxa"/>
            <w:tcBorders>
              <w:top w:val="single" w:sz="4" w:space="0" w:color="auto"/>
              <w:bottom w:val="single" w:sz="4" w:space="0" w:color="auto"/>
            </w:tcBorders>
            <w:hideMark/>
          </w:tcPr>
          <w:p w14:paraId="6DAC634E"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Centrada, sobre la tabla</w:t>
            </w:r>
          </w:p>
        </w:tc>
      </w:tr>
      <w:tr w:rsidR="00AC3F1E" w:rsidRPr="00513AE6" w14:paraId="6111DDA3" w14:textId="77777777" w:rsidTr="00B82D8F">
        <w:trPr>
          <w:jc w:val="center"/>
        </w:trPr>
        <w:tc>
          <w:tcPr>
            <w:tcW w:w="1207" w:type="dxa"/>
            <w:tcBorders>
              <w:top w:val="single" w:sz="4" w:space="0" w:color="auto"/>
              <w:bottom w:val="single" w:sz="4" w:space="0" w:color="auto"/>
            </w:tcBorders>
            <w:hideMark/>
          </w:tcPr>
          <w:p w14:paraId="56AB0481"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de figura</w:t>
            </w:r>
          </w:p>
        </w:tc>
        <w:tc>
          <w:tcPr>
            <w:tcW w:w="1765" w:type="dxa"/>
            <w:tcBorders>
              <w:top w:val="single" w:sz="4" w:space="0" w:color="auto"/>
              <w:bottom w:val="single" w:sz="4" w:space="0" w:color="auto"/>
            </w:tcBorders>
            <w:hideMark/>
          </w:tcPr>
          <w:p w14:paraId="79D8A89E"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 TNR10</w:t>
            </w:r>
          </w:p>
        </w:tc>
        <w:tc>
          <w:tcPr>
            <w:tcW w:w="1537" w:type="dxa"/>
            <w:tcBorders>
              <w:top w:val="single" w:sz="4" w:space="0" w:color="auto"/>
              <w:bottom w:val="single" w:sz="4" w:space="0" w:color="auto"/>
            </w:tcBorders>
            <w:hideMark/>
          </w:tcPr>
          <w:p w14:paraId="07C9BAD9"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Al margen izquierdo, debajo de la figura</w:t>
            </w:r>
          </w:p>
        </w:tc>
      </w:tr>
      <w:tr w:rsidR="00AC3F1E" w:rsidRPr="00513AE6" w14:paraId="0FB94F66" w14:textId="77777777" w:rsidTr="00B82D8F">
        <w:trPr>
          <w:jc w:val="center"/>
        </w:trPr>
        <w:tc>
          <w:tcPr>
            <w:tcW w:w="1207" w:type="dxa"/>
            <w:tcBorders>
              <w:top w:val="single" w:sz="4" w:space="0" w:color="auto"/>
              <w:bottom w:val="single" w:sz="4" w:space="0" w:color="auto"/>
            </w:tcBorders>
            <w:hideMark/>
          </w:tcPr>
          <w:p w14:paraId="0570A902"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El texto dentro de una tabla</w:t>
            </w:r>
          </w:p>
        </w:tc>
        <w:tc>
          <w:tcPr>
            <w:tcW w:w="1765" w:type="dxa"/>
            <w:tcBorders>
              <w:top w:val="single" w:sz="4" w:space="0" w:color="auto"/>
              <w:bottom w:val="single" w:sz="4" w:space="0" w:color="auto"/>
            </w:tcBorders>
            <w:hideMark/>
          </w:tcPr>
          <w:p w14:paraId="4E106FB1"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w:t>
            </w:r>
            <w:r w:rsidR="00AC3F1E">
              <w:rPr>
                <w:rFonts w:ascii="Times New Roman" w:eastAsia="Times New Roman" w:hAnsi="Times New Roman" w:cs="Times New Roman"/>
                <w:sz w:val="18"/>
                <w:szCs w:val="20"/>
                <w:lang w:val="es-CO" w:eastAsia="es-CO"/>
              </w:rPr>
              <w:t>, puede variar en un rango de 9 a 10</w:t>
            </w:r>
            <w:r w:rsidRPr="00513AE6">
              <w:rPr>
                <w:rFonts w:ascii="Times New Roman" w:eastAsia="Times New Roman" w:hAnsi="Times New Roman" w:cs="Times New Roman"/>
                <w:sz w:val="18"/>
                <w:szCs w:val="20"/>
                <w:lang w:val="es-CO" w:eastAsia="es-CO"/>
              </w:rPr>
              <w:t>, según sea necesario para su ajuste adecuado</w:t>
            </w:r>
          </w:p>
        </w:tc>
        <w:tc>
          <w:tcPr>
            <w:tcW w:w="1537" w:type="dxa"/>
            <w:tcBorders>
              <w:top w:val="single" w:sz="4" w:space="0" w:color="auto"/>
              <w:bottom w:val="single" w:sz="4" w:space="0" w:color="auto"/>
            </w:tcBorders>
            <w:hideMark/>
          </w:tcPr>
          <w:p w14:paraId="6799BB74"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Puede variar</w:t>
            </w:r>
          </w:p>
        </w:tc>
      </w:tr>
      <w:tr w:rsidR="00AC3F1E" w:rsidRPr="00513AE6" w14:paraId="71043FF2" w14:textId="77777777" w:rsidTr="00B82D8F">
        <w:trPr>
          <w:jc w:val="center"/>
        </w:trPr>
        <w:tc>
          <w:tcPr>
            <w:tcW w:w="1207" w:type="dxa"/>
            <w:tcBorders>
              <w:top w:val="single" w:sz="4" w:space="0" w:color="auto"/>
              <w:bottom w:val="single" w:sz="4" w:space="0" w:color="auto"/>
            </w:tcBorders>
            <w:hideMark/>
          </w:tcPr>
          <w:p w14:paraId="5327B201"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Leyenda de gráficos y tablas</w:t>
            </w:r>
          </w:p>
        </w:tc>
        <w:tc>
          <w:tcPr>
            <w:tcW w:w="1765" w:type="dxa"/>
            <w:tcBorders>
              <w:top w:val="single" w:sz="4" w:space="0" w:color="auto"/>
              <w:bottom w:val="single" w:sz="4" w:space="0" w:color="auto"/>
            </w:tcBorders>
            <w:hideMark/>
          </w:tcPr>
          <w:p w14:paraId="34E4A1D0" w14:textId="77777777" w:rsidR="00513AE6" w:rsidRPr="00513AE6" w:rsidRDefault="00513AE6" w:rsidP="00AC3F1E">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 puede variar en un rango de</w:t>
            </w:r>
            <w:r w:rsidR="00AC3F1E">
              <w:rPr>
                <w:rFonts w:ascii="Times New Roman" w:eastAsia="Times New Roman" w:hAnsi="Times New Roman" w:cs="Times New Roman"/>
                <w:sz w:val="18"/>
                <w:szCs w:val="20"/>
                <w:lang w:val="es-CO" w:eastAsia="es-CO"/>
              </w:rPr>
              <w:t xml:space="preserve"> 9 y 10</w:t>
            </w:r>
            <w:r w:rsidRPr="00513AE6">
              <w:rPr>
                <w:rFonts w:ascii="Times New Roman" w:eastAsia="Times New Roman" w:hAnsi="Times New Roman" w:cs="Times New Roman"/>
                <w:sz w:val="18"/>
                <w:szCs w:val="20"/>
                <w:lang w:val="es-CO" w:eastAsia="es-CO"/>
              </w:rPr>
              <w:t>, según sea necesario para su ajuste adecuado</w:t>
            </w:r>
          </w:p>
        </w:tc>
        <w:tc>
          <w:tcPr>
            <w:tcW w:w="1537" w:type="dxa"/>
            <w:tcBorders>
              <w:top w:val="single" w:sz="4" w:space="0" w:color="auto"/>
              <w:bottom w:val="single" w:sz="4" w:space="0" w:color="auto"/>
            </w:tcBorders>
            <w:hideMark/>
          </w:tcPr>
          <w:p w14:paraId="42206D0C"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Puede variar</w:t>
            </w:r>
          </w:p>
        </w:tc>
      </w:tr>
    </w:tbl>
    <w:p w14:paraId="4B1617E8" w14:textId="77777777" w:rsidR="00513AE6" w:rsidRDefault="00AC3F1E" w:rsidP="00AC3F1E">
      <w:pPr>
        <w:pStyle w:val="Text"/>
        <w:spacing w:line="360" w:lineRule="auto"/>
        <w:ind w:firstLine="0"/>
        <w:jc w:val="left"/>
        <w:rPr>
          <w:sz w:val="18"/>
          <w:szCs w:val="18"/>
          <w:lang w:val="es-MX"/>
        </w:rPr>
      </w:pPr>
      <w:r w:rsidRPr="00AC3F1E">
        <w:rPr>
          <w:b/>
          <w:sz w:val="18"/>
          <w:szCs w:val="18"/>
          <w:lang w:val="es-MX"/>
        </w:rPr>
        <w:lastRenderedPageBreak/>
        <w:t>Fuente:</w:t>
      </w:r>
      <w:r>
        <w:rPr>
          <w:b/>
          <w:sz w:val="18"/>
          <w:szCs w:val="18"/>
          <w:lang w:val="es-MX"/>
        </w:rPr>
        <w:t xml:space="preserve"> </w:t>
      </w:r>
      <w:r w:rsidRPr="00AC3F1E">
        <w:rPr>
          <w:sz w:val="18"/>
          <w:szCs w:val="18"/>
          <w:lang w:val="es-MX"/>
        </w:rPr>
        <w:t>Dirección de Investigación y Vinculación</w:t>
      </w:r>
    </w:p>
    <w:p w14:paraId="299FF5D3" w14:textId="2F38F76D" w:rsidR="00B34118" w:rsidRDefault="00B34118" w:rsidP="00B34118">
      <w:pPr>
        <w:pStyle w:val="Text"/>
        <w:spacing w:line="360" w:lineRule="auto"/>
        <w:ind w:firstLine="0"/>
        <w:rPr>
          <w:b/>
          <w:sz w:val="24"/>
          <w:szCs w:val="18"/>
          <w:lang w:val="es-MX"/>
        </w:rPr>
      </w:pPr>
    </w:p>
    <w:p w14:paraId="3778D8D4" w14:textId="77777777" w:rsidR="004043CD" w:rsidRDefault="004043CD" w:rsidP="00B34118">
      <w:pPr>
        <w:pStyle w:val="Text"/>
        <w:spacing w:line="360" w:lineRule="auto"/>
        <w:ind w:firstLine="0"/>
        <w:rPr>
          <w:b/>
          <w:sz w:val="24"/>
          <w:szCs w:val="18"/>
          <w:lang w:val="es-MX"/>
        </w:rPr>
      </w:pPr>
    </w:p>
    <w:p w14:paraId="78A6719F" w14:textId="77777777" w:rsidR="00B34118" w:rsidRDefault="005924F4" w:rsidP="00B34118">
      <w:pPr>
        <w:pStyle w:val="Text"/>
        <w:spacing w:line="360" w:lineRule="auto"/>
        <w:ind w:firstLine="0"/>
        <w:rPr>
          <w:sz w:val="24"/>
          <w:szCs w:val="18"/>
          <w:lang w:val="es-MX"/>
        </w:rPr>
      </w:pPr>
      <w:r>
        <w:rPr>
          <w:b/>
          <w:sz w:val="24"/>
          <w:szCs w:val="18"/>
          <w:lang w:val="es-MX"/>
        </w:rPr>
        <w:t>D</w:t>
      </w:r>
      <w:r w:rsidR="00B34118" w:rsidRPr="00B34118">
        <w:rPr>
          <w:b/>
          <w:sz w:val="24"/>
          <w:szCs w:val="18"/>
          <w:lang w:val="es-MX"/>
        </w:rPr>
        <w:t>.</w:t>
      </w:r>
      <w:r w:rsidR="00B34118" w:rsidRPr="00B34118">
        <w:rPr>
          <w:i/>
          <w:sz w:val="24"/>
          <w:szCs w:val="18"/>
          <w:lang w:val="es-MX"/>
        </w:rPr>
        <w:t xml:space="preserve"> Figuras</w:t>
      </w:r>
    </w:p>
    <w:p w14:paraId="2461D607" w14:textId="136BECBB" w:rsidR="00B34118" w:rsidRDefault="00B34118" w:rsidP="00B34118">
      <w:pPr>
        <w:pStyle w:val="Text"/>
        <w:spacing w:line="360" w:lineRule="auto"/>
        <w:ind w:firstLine="0"/>
        <w:rPr>
          <w:sz w:val="24"/>
          <w:szCs w:val="18"/>
          <w:lang w:val="es-MX"/>
        </w:rPr>
      </w:pPr>
      <w:r w:rsidRPr="00B34118">
        <w:rPr>
          <w:sz w:val="24"/>
          <w:szCs w:val="18"/>
          <w:lang w:val="es-MX"/>
        </w:rPr>
        <w:t xml:space="preserve">Los gráficos, fotografías, dibujos, diagramas y toda la ayuda gráfica, con o sin información cuantitativa, deben denominarse figura. Deberán enumerarse consecutivamente y con números arábigos; ser incluidos en el texto correspondiente (no agrupados al final </w:t>
      </w:r>
      <w:r w:rsidR="00B85A17" w:rsidRPr="00B34118">
        <w:rPr>
          <w:sz w:val="24"/>
          <w:szCs w:val="18"/>
          <w:lang w:val="es-MX"/>
        </w:rPr>
        <w:t>de este</w:t>
      </w:r>
      <w:r w:rsidRPr="00B34118">
        <w:rPr>
          <w:sz w:val="24"/>
          <w:szCs w:val="18"/>
          <w:lang w:val="es-MX"/>
        </w:rPr>
        <w:t xml:space="preserve">) y con su leyenda. La información contenida en la figura no deberá estar duplicada en cuadros ni en forma de prosa en el texto. El título de la figura se coloca en la parte inferior y debe ser lo suficientemente informativo de su contenido. </w:t>
      </w:r>
    </w:p>
    <w:p w14:paraId="585C885C" w14:textId="07783640" w:rsidR="00B34118" w:rsidRDefault="00B34118" w:rsidP="00B34118">
      <w:pPr>
        <w:pStyle w:val="Text"/>
        <w:spacing w:before="240" w:line="360" w:lineRule="auto"/>
        <w:ind w:firstLine="0"/>
        <w:rPr>
          <w:sz w:val="24"/>
          <w:szCs w:val="18"/>
          <w:lang w:val="es-MX"/>
        </w:rPr>
      </w:pPr>
      <w:r w:rsidRPr="00513AE6">
        <w:rPr>
          <w:sz w:val="22"/>
          <w:lang w:val="es-MX"/>
        </w:rPr>
        <w:t xml:space="preserve">Las figuras y tablas grandes pueden expandirse abarcando ambas columnas.  Los </w:t>
      </w:r>
      <w:r>
        <w:rPr>
          <w:sz w:val="22"/>
          <w:lang w:val="es-MX"/>
        </w:rPr>
        <w:t xml:space="preserve">títulos </w:t>
      </w:r>
      <w:r w:rsidRPr="00513AE6">
        <w:rPr>
          <w:sz w:val="22"/>
          <w:lang w:val="es-MX"/>
        </w:rPr>
        <w:t xml:space="preserve">deben estar centrados en la columna </w:t>
      </w:r>
      <w:r>
        <w:rPr>
          <w:sz w:val="22"/>
          <w:lang w:val="es-MX"/>
        </w:rPr>
        <w:t>bajo las figuras</w:t>
      </w:r>
      <w:r w:rsidRPr="00513AE6">
        <w:rPr>
          <w:sz w:val="22"/>
          <w:lang w:val="es-MX"/>
        </w:rPr>
        <w:t xml:space="preserve">.  Evite colocar figuras y tablas antes de la primera mención en el texto. </w:t>
      </w:r>
      <w:r w:rsidRPr="00B34118">
        <w:rPr>
          <w:sz w:val="24"/>
          <w:szCs w:val="18"/>
          <w:lang w:val="es-MX"/>
        </w:rPr>
        <w:t xml:space="preserve">Todas las figuras deben especificarse en el texto y en el título de </w:t>
      </w:r>
      <w:r w:rsidR="00B85A17" w:rsidRPr="00B34118">
        <w:rPr>
          <w:sz w:val="24"/>
          <w:szCs w:val="18"/>
          <w:lang w:val="es-MX"/>
        </w:rPr>
        <w:t>estas</w:t>
      </w:r>
      <w:r w:rsidRPr="00B34118">
        <w:rPr>
          <w:sz w:val="24"/>
          <w:szCs w:val="18"/>
          <w:lang w:val="es-MX"/>
        </w:rPr>
        <w:t>, como Fig.1, (Figuras 2 y 3), etc.</w:t>
      </w:r>
    </w:p>
    <w:p w14:paraId="642BC955" w14:textId="37F438EF" w:rsidR="004043CD" w:rsidRPr="004043CD" w:rsidRDefault="004043CD" w:rsidP="00B34118">
      <w:pPr>
        <w:pStyle w:val="Text"/>
        <w:spacing w:before="240" w:line="360" w:lineRule="auto"/>
        <w:ind w:firstLine="0"/>
        <w:rPr>
          <w:sz w:val="24"/>
          <w:szCs w:val="18"/>
          <w:lang w:val="es-ES"/>
        </w:rPr>
      </w:pPr>
      <w:r w:rsidRPr="004043CD">
        <w:rPr>
          <w:sz w:val="24"/>
          <w:szCs w:val="18"/>
          <w:lang w:val="es-ES"/>
        </w:rPr>
        <w:t>Se aceptan figuras con un grado mínimo de resolución de 300 dpi. Cuantos más píxeles haya por pulgada más información contendrá la imagen (más precisa), por ejemplo, una resolución de 300 dpi significa que la imagen contiene 300 píxeles de ancho y 300 píxeles de alto, por tanto, se compone de 90.000 píxeles. Las figuras (fotos mapas, esquemas, diagramas, entre otros), deben ser remitidos en formato editable (PNG, XLS, DOCX, AI) y/o en la resolución sugerida.</w:t>
      </w:r>
    </w:p>
    <w:p w14:paraId="70E805A3" w14:textId="77777777" w:rsidR="00AC3F1E" w:rsidRDefault="00AC3F1E" w:rsidP="00AC3F1E">
      <w:pPr>
        <w:pStyle w:val="Text"/>
        <w:spacing w:line="360" w:lineRule="auto"/>
        <w:ind w:firstLine="0"/>
        <w:jc w:val="left"/>
        <w:rPr>
          <w:sz w:val="18"/>
          <w:szCs w:val="18"/>
          <w:lang w:val="es-MX"/>
        </w:rPr>
      </w:pPr>
    </w:p>
    <w:bookmarkStart w:id="0" w:name="_MON_1040652312"/>
    <w:bookmarkEnd w:id="0"/>
    <w:bookmarkStart w:id="1" w:name="_MON_1040224806"/>
    <w:bookmarkEnd w:id="1"/>
    <w:p w14:paraId="102D44B7" w14:textId="77777777" w:rsidR="00AC3F1E" w:rsidRDefault="00B34118" w:rsidP="00AC3F1E">
      <w:pPr>
        <w:pStyle w:val="Text"/>
        <w:spacing w:line="360" w:lineRule="auto"/>
        <w:ind w:firstLine="0"/>
        <w:jc w:val="center"/>
      </w:pPr>
      <w:r>
        <w:object w:dxaOrig="4306" w:dyaOrig="4051" w14:anchorId="387C3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85pt;height:149.4pt" o:ole="" fillcolor="window">
            <v:imagedata r:id="rId8" o:title=""/>
          </v:shape>
          <o:OLEObject Type="Embed" ProgID="Word.Picture.8" ShapeID="_x0000_i1025" DrawAspect="Content" ObjectID="_1742969762" r:id="rId9"/>
        </w:object>
      </w:r>
    </w:p>
    <w:p w14:paraId="33B1D5C1" w14:textId="77777777" w:rsidR="00AC3F1E" w:rsidRPr="00AC3F1E" w:rsidRDefault="00AC3F1E" w:rsidP="00AC3F1E">
      <w:pPr>
        <w:pStyle w:val="Text"/>
        <w:spacing w:line="360" w:lineRule="auto"/>
        <w:jc w:val="center"/>
        <w:rPr>
          <w:sz w:val="18"/>
          <w:szCs w:val="18"/>
          <w:lang w:val="es-MX"/>
        </w:rPr>
      </w:pPr>
      <w:r w:rsidRPr="00AC3F1E">
        <w:rPr>
          <w:b/>
          <w:sz w:val="18"/>
          <w:szCs w:val="18"/>
          <w:lang w:val="es-MX"/>
        </w:rPr>
        <w:t>Fig. 1.</w:t>
      </w:r>
      <w:r w:rsidRPr="00AC3F1E">
        <w:rPr>
          <w:sz w:val="18"/>
          <w:szCs w:val="18"/>
          <w:lang w:val="es-MX"/>
        </w:rPr>
        <w:t xml:space="preserve"> Magnetización como una función del campo aplicado.</w:t>
      </w:r>
    </w:p>
    <w:p w14:paraId="48622C92" w14:textId="77777777" w:rsidR="00AC3F1E" w:rsidRDefault="00AC3F1E" w:rsidP="00AC3F1E">
      <w:pPr>
        <w:pStyle w:val="Text"/>
        <w:spacing w:line="360" w:lineRule="auto"/>
        <w:ind w:firstLine="0"/>
        <w:jc w:val="center"/>
        <w:rPr>
          <w:sz w:val="18"/>
          <w:szCs w:val="18"/>
          <w:lang w:val="es-MX"/>
        </w:rPr>
      </w:pPr>
      <w:r w:rsidRPr="00AC3F1E">
        <w:rPr>
          <w:sz w:val="18"/>
          <w:szCs w:val="18"/>
          <w:lang w:val="es-MX"/>
        </w:rPr>
        <w:t>Note como el subtítulo está centrado en la columna</w:t>
      </w:r>
      <w:r>
        <w:rPr>
          <w:sz w:val="18"/>
          <w:szCs w:val="18"/>
          <w:lang w:val="es-MX"/>
        </w:rPr>
        <w:t>.</w:t>
      </w:r>
    </w:p>
    <w:p w14:paraId="7954C69C" w14:textId="77777777" w:rsidR="00AC3F1E" w:rsidRDefault="00AC3F1E" w:rsidP="00AC3F1E">
      <w:pPr>
        <w:pStyle w:val="Text"/>
        <w:spacing w:line="360" w:lineRule="auto"/>
        <w:ind w:firstLine="0"/>
        <w:jc w:val="center"/>
        <w:rPr>
          <w:sz w:val="18"/>
          <w:szCs w:val="18"/>
          <w:lang w:val="es-MX"/>
        </w:rPr>
      </w:pPr>
      <w:r>
        <w:rPr>
          <w:noProof/>
          <w:lang w:val="es-ES" w:eastAsia="es-ES"/>
        </w:rPr>
        <w:lastRenderedPageBreak/>
        <w:drawing>
          <wp:inline distT="0" distB="0" distL="0" distR="0" wp14:anchorId="0F707876" wp14:editId="68CA07D4">
            <wp:extent cx="2832735" cy="1552575"/>
            <wp:effectExtent l="0" t="0" r="571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846" t="44274" r="52474" b="38016"/>
                    <a:stretch/>
                  </pic:blipFill>
                  <pic:spPr bwMode="auto">
                    <a:xfrm>
                      <a:off x="0" y="0"/>
                      <a:ext cx="2862083" cy="1568660"/>
                    </a:xfrm>
                    <a:prstGeom prst="rect">
                      <a:avLst/>
                    </a:prstGeom>
                    <a:ln>
                      <a:noFill/>
                    </a:ln>
                    <a:extLst>
                      <a:ext uri="{53640926-AAD7-44D8-BBD7-CCE9431645EC}">
                        <a14:shadowObscured xmlns:a14="http://schemas.microsoft.com/office/drawing/2010/main"/>
                      </a:ext>
                    </a:extLst>
                  </pic:spPr>
                </pic:pic>
              </a:graphicData>
            </a:graphic>
          </wp:inline>
        </w:drawing>
      </w:r>
    </w:p>
    <w:p w14:paraId="44544C40" w14:textId="2F2F2DD0" w:rsidR="00AC3F1E" w:rsidRDefault="00AC3F1E" w:rsidP="00AC3F1E">
      <w:pPr>
        <w:pStyle w:val="Text"/>
        <w:spacing w:line="360" w:lineRule="auto"/>
        <w:ind w:firstLine="0"/>
        <w:jc w:val="center"/>
        <w:rPr>
          <w:sz w:val="18"/>
          <w:szCs w:val="18"/>
          <w:lang w:val="es-MX"/>
        </w:rPr>
      </w:pPr>
      <w:r w:rsidRPr="00AC3F1E">
        <w:rPr>
          <w:b/>
          <w:sz w:val="18"/>
          <w:szCs w:val="18"/>
          <w:lang w:val="es-MX"/>
        </w:rPr>
        <w:t>Fig. 2.</w:t>
      </w:r>
      <w:r w:rsidRPr="00AC3F1E">
        <w:rPr>
          <w:sz w:val="18"/>
          <w:szCs w:val="18"/>
          <w:lang w:val="es-MX"/>
        </w:rPr>
        <w:t xml:space="preserve"> Evolución del Presupuesto General del Estado 2008-2017</w:t>
      </w:r>
    </w:p>
    <w:p w14:paraId="3FFD4FCA" w14:textId="73EAE04E" w:rsidR="00FC65BB" w:rsidRDefault="00FC65BB" w:rsidP="00AC3F1E">
      <w:pPr>
        <w:pStyle w:val="Text"/>
        <w:spacing w:line="360" w:lineRule="auto"/>
        <w:ind w:firstLine="0"/>
        <w:jc w:val="center"/>
        <w:rPr>
          <w:sz w:val="18"/>
          <w:szCs w:val="18"/>
          <w:lang w:val="es-MX"/>
        </w:rPr>
      </w:pPr>
    </w:p>
    <w:p w14:paraId="70FE1D92" w14:textId="77777777" w:rsidR="0066441A" w:rsidRDefault="005924F4" w:rsidP="0066441A">
      <w:pPr>
        <w:pStyle w:val="Text"/>
        <w:spacing w:line="360" w:lineRule="auto"/>
        <w:ind w:firstLine="0"/>
        <w:rPr>
          <w:sz w:val="24"/>
          <w:szCs w:val="18"/>
          <w:lang w:val="es-MX"/>
        </w:rPr>
      </w:pPr>
      <w:r>
        <w:rPr>
          <w:b/>
          <w:sz w:val="24"/>
          <w:szCs w:val="18"/>
          <w:lang w:val="es-MX"/>
        </w:rPr>
        <w:t>E</w:t>
      </w:r>
      <w:r w:rsidR="0066441A" w:rsidRPr="0066441A">
        <w:rPr>
          <w:b/>
          <w:sz w:val="24"/>
          <w:szCs w:val="18"/>
          <w:lang w:val="es-MX"/>
        </w:rPr>
        <w:t>.</w:t>
      </w:r>
      <w:r w:rsidR="0066441A">
        <w:rPr>
          <w:sz w:val="24"/>
          <w:szCs w:val="18"/>
          <w:lang w:val="es-MX"/>
        </w:rPr>
        <w:t xml:space="preserve"> </w:t>
      </w:r>
      <w:r w:rsidR="0066441A" w:rsidRPr="0066441A">
        <w:rPr>
          <w:i/>
          <w:sz w:val="24"/>
          <w:szCs w:val="18"/>
          <w:lang w:val="es-MX"/>
        </w:rPr>
        <w:t>Citas en el texto</w:t>
      </w:r>
    </w:p>
    <w:p w14:paraId="5FC16093" w14:textId="6E39DF62" w:rsidR="0066441A" w:rsidRDefault="0066441A" w:rsidP="0066441A">
      <w:pPr>
        <w:pStyle w:val="Text"/>
        <w:spacing w:line="360" w:lineRule="auto"/>
        <w:ind w:firstLine="0"/>
        <w:rPr>
          <w:sz w:val="24"/>
          <w:szCs w:val="18"/>
          <w:lang w:val="es-MX"/>
        </w:rPr>
      </w:pPr>
      <w:r w:rsidRPr="0066441A">
        <w:rPr>
          <w:sz w:val="24"/>
          <w:szCs w:val="18"/>
          <w:lang w:val="es-MX"/>
        </w:rPr>
        <w:t xml:space="preserve">Utilizar referencias de revistas arbitradas, así como de publicaciones de amplia difusión. </w:t>
      </w:r>
      <w:r w:rsidR="00FB12E9" w:rsidRPr="0066441A">
        <w:rPr>
          <w:sz w:val="24"/>
          <w:szCs w:val="18"/>
          <w:lang w:val="es-MX"/>
        </w:rPr>
        <w:t xml:space="preserve">Para </w:t>
      </w:r>
      <w:r w:rsidR="00FB12E9">
        <w:rPr>
          <w:sz w:val="24"/>
          <w:szCs w:val="18"/>
          <w:lang w:val="es-MX"/>
        </w:rPr>
        <w:t>insertar</w:t>
      </w:r>
      <w:r w:rsidR="00FB12E9" w:rsidRPr="0066441A">
        <w:rPr>
          <w:sz w:val="24"/>
          <w:szCs w:val="18"/>
          <w:lang w:val="es-MX"/>
        </w:rPr>
        <w:t xml:space="preserve"> las citas, emplear </w:t>
      </w:r>
      <w:r w:rsidR="00FB12E9">
        <w:rPr>
          <w:sz w:val="24"/>
          <w:szCs w:val="18"/>
          <w:lang w:val="es-MX"/>
        </w:rPr>
        <w:t>gestores bibliográficos y usar el sistema Normas APA en su última edición</w:t>
      </w:r>
      <w:r w:rsidR="00284B0E">
        <w:rPr>
          <w:sz w:val="24"/>
          <w:szCs w:val="18"/>
          <w:lang w:val="es-MX"/>
        </w:rPr>
        <w:t>:</w:t>
      </w:r>
      <w:r w:rsidR="008F2B06">
        <w:rPr>
          <w:sz w:val="24"/>
          <w:szCs w:val="18"/>
          <w:lang w:val="es-MX"/>
        </w:rPr>
        <w:t xml:space="preserve"> </w:t>
      </w:r>
      <w:r w:rsidR="008F2B06">
        <w:rPr>
          <w:sz w:val="24"/>
          <w:szCs w:val="18"/>
          <w:lang w:val="es-MX"/>
        </w:rPr>
        <w:fldChar w:fldCharType="begin" w:fldLock="1"/>
      </w:r>
      <w:r w:rsidR="008F2B06">
        <w:rPr>
          <w:sz w:val="24"/>
          <w:szCs w:val="18"/>
          <w:lang w:val="es-MX"/>
        </w:rPr>
        <w:instrText>ADDIN CSL_CITATION {"citationItems":[{"id":"ITEM-1","itemData":{"DOI":"10.3184/095422907X211918","ISBN":"095422907X","ISSN":"09542299","abstract":"In recent years, initiatives on critical loads of metals have resulted in the development of models to predict critical, i.e. mobile or bioavailable, concentrations of potentially toxic elements in soils. These models have been based on data from temperate soils and, considering the fundamentally different soil chemistry of the major tropical soil types, it is unlikely that such models could be applied successfully in the tropics. In particular, the major tropical soil types, particularly oxisols and ultisols, are distinguished from most temperate soils by low activity clays, low organic matter contents, low pH values and high levels of Fe oxides. The aim of this review paper is to collate existing information on the behaviour of trace metals in tropical soils, particularly in relation to metal mobility and bioavailability, and note differences, where these exist, with temperate soils. The main findings are as follows. The acidic nature of many tropical soils may not, of itself, lead to greater metal solubility. The relatively low organic matter content of tropical soils suggests that it cannot be relied upon to retain metals. However, when it is present, it appears to be important in the retention of copper, lead and zinc. The clay fractions of many tropical soils are dominated by kaolinite which is less able than 2:1 layer silicate clays to adsorb metals. However, oxisols and ultisols in particular have relatively high Fe oxides contents and these may be effective in metal sorption. Overall though, soils such as oxisols and ultisols appear to sorb relatively low amounts of added metals, most likely explained by the low activity clay minerals they contain and the rapid decomposition of organic matter incorporated into them. Dominant retention mechanisms, where they occur, are inner and outer sphere adsorption but not precipitation. Cadmium, Cu, Zn and Ni appear to be mobile in tropical soils. Chromium may be mobile in the A horizon but retained in the B horizon. The evidence for Pb points to surface retention, as is often observed for this metal in temperate soils. Metals in contaminated tropical soils appear to be rather bioavailable, judging by the few studies on plant uptake. It should be noted that the above statements are based on a relatively small number of studies. Further work is required if we are to gain an improved understanding of the mobility and bioavailability of trace metals in tropical soils.","author":[{"dropping-particle":"","family":"Rieuwerts","given":"John S","non-dropping-particle":"","parse-names":false,"suffix":""}],"container-title":"Chemical Speciation and Bioavailability","id":"ITEM-1","issue":"2","issued":{"date-parts":[["2007"]]},"page":"75-85","title":"The mobility and bioavailability of trace metals in tropical soils: A review","type":"article-journal","volume":"19"},"uris":["http://www.mendeley.com/documents/?uuid=6b31e8a0-a2b8-48a1-9cc8-ad3716703381"]}],"mendeley":{"formattedCitation":"(Rieuwerts, 2007)","manualFormatting":"Rieuwerts, (2007)","plainTextFormattedCitation":"(Rieuwerts, 2007)","previouslyFormattedCitation":"(Rieuwerts, 2007)"},"properties":{"noteIndex":0},"schema":"https://github.com/citation-style-language/schema/raw/master/csl-citation.json"}</w:instrText>
      </w:r>
      <w:r w:rsidR="008F2B06">
        <w:rPr>
          <w:sz w:val="24"/>
          <w:szCs w:val="18"/>
          <w:lang w:val="es-MX"/>
        </w:rPr>
        <w:fldChar w:fldCharType="separate"/>
      </w:r>
      <w:r w:rsidR="008F2B06" w:rsidRPr="008F2B06">
        <w:rPr>
          <w:noProof/>
          <w:sz w:val="24"/>
          <w:szCs w:val="18"/>
          <w:lang w:val="es-MX"/>
        </w:rPr>
        <w:t xml:space="preserve">Rieuwerts, </w:t>
      </w:r>
      <w:r w:rsidR="008F2B06">
        <w:rPr>
          <w:noProof/>
          <w:sz w:val="24"/>
          <w:szCs w:val="18"/>
          <w:lang w:val="es-MX"/>
        </w:rPr>
        <w:t>(</w:t>
      </w:r>
      <w:r w:rsidR="008F2B06" w:rsidRPr="008F2B06">
        <w:rPr>
          <w:noProof/>
          <w:sz w:val="24"/>
          <w:szCs w:val="18"/>
          <w:lang w:val="es-MX"/>
        </w:rPr>
        <w:t>2007)</w:t>
      </w:r>
      <w:r w:rsidR="008F2B06">
        <w:rPr>
          <w:sz w:val="24"/>
          <w:szCs w:val="18"/>
          <w:lang w:val="es-MX"/>
        </w:rPr>
        <w:fldChar w:fldCharType="end"/>
      </w:r>
      <w:r w:rsidR="008F2B06">
        <w:rPr>
          <w:sz w:val="24"/>
          <w:szCs w:val="18"/>
          <w:lang w:val="es-MX"/>
        </w:rPr>
        <w:t xml:space="preserve"> o </w:t>
      </w:r>
      <w:r w:rsidR="008F2B06">
        <w:rPr>
          <w:sz w:val="24"/>
          <w:szCs w:val="18"/>
          <w:lang w:val="es-MX"/>
        </w:rPr>
        <w:fldChar w:fldCharType="begin" w:fldLock="1"/>
      </w:r>
      <w:r w:rsidR="008F2B06">
        <w:rPr>
          <w:sz w:val="24"/>
          <w:szCs w:val="18"/>
          <w:lang w:val="es-MX"/>
        </w:rPr>
        <w:instrText>ADDIN CSL_CITATION {"citationItems":[{"id":"ITEM-1","itemData":{"DOI":"10.3184/095422907X211918","ISBN":"095422907X","ISSN":"09542299","abstract":"In recent years, initiatives on critical loads of metals have resulted in the development of models to predict critical, i.e. mobile or bioavailable, concentrations of potentially toxic elements in soils. These models have been based on data from temperate soils and, considering the fundamentally different soil chemistry of the major tropical soil types, it is unlikely that such models could be applied successfully in the tropics. In particular, the major tropical soil types, particularly oxisols and ultisols, are distinguished from most temperate soils by low activity clays, low organic matter contents, low pH values and high levels of Fe oxides. The aim of this review paper is to collate existing information on the behaviour of trace metals in tropical soils, particularly in relation to metal mobility and bioavailability, and note differences, where these exist, with temperate soils. The main findings are as follows. The acidic nature of many tropical soils may not, of itself, lead to greater metal solubility. The relatively low organic matter content of tropical soils suggests that it cannot be relied upon to retain metals. However, when it is present, it appears to be important in the retention of copper, lead and zinc. The clay fractions of many tropical soils are dominated by kaolinite which is less able than 2:1 layer silicate clays to adsorb metals. However, oxisols and ultisols in particular have relatively high Fe oxides contents and these may be effective in metal sorption. Overall though, soils such as oxisols and ultisols appear to sorb relatively low amounts of added metals, most likely explained by the low activity clay minerals they contain and the rapid decomposition of organic matter incorporated into them. Dominant retention mechanisms, where they occur, are inner and outer sphere adsorption but not precipitation. Cadmium, Cu, Zn and Ni appear to be mobile in tropical soils. Chromium may be mobile in the A horizon but retained in the B horizon. The evidence for Pb points to surface retention, as is often observed for this metal in temperate soils. Metals in contaminated tropical soils appear to be rather bioavailable, judging by the few studies on plant uptake. It should be noted that the above statements are based on a relatively small number of studies. Further work is required if we are to gain an improved understanding of the mobility and bioavailability of trace metals in tropical soils.","author":[{"dropping-particle":"","family":"Rieuwerts","given":"John S","non-dropping-particle":"","parse-names":false,"suffix":""}],"container-title":"Chemical Speciation and Bioavailability","id":"ITEM-1","issue":"2","issued":{"date-parts":[["2007"]]},"page":"75-85","title":"The mobility and bioavailability of trace metals in tropical soils: A review","type":"article-journal","volume":"19"},"uris":["http://www.mendeley.com/documents/?uuid=6b31e8a0-a2b8-48a1-9cc8-ad3716703381"]}],"mendeley":{"formattedCitation":"(Rieuwerts, 2007)","plainTextFormattedCitation":"(Rieuwerts, 2007)"},"properties":{"noteIndex":0},"schema":"https://github.com/citation-style-language/schema/raw/master/csl-citation.json"}</w:instrText>
      </w:r>
      <w:r w:rsidR="008F2B06">
        <w:rPr>
          <w:sz w:val="24"/>
          <w:szCs w:val="18"/>
          <w:lang w:val="es-MX"/>
        </w:rPr>
        <w:fldChar w:fldCharType="separate"/>
      </w:r>
      <w:r w:rsidR="008F2B06" w:rsidRPr="008F2B06">
        <w:rPr>
          <w:noProof/>
          <w:sz w:val="24"/>
          <w:szCs w:val="18"/>
          <w:lang w:val="es-MX"/>
        </w:rPr>
        <w:t>(Rieuwerts, 2007)</w:t>
      </w:r>
      <w:r w:rsidR="008F2B06">
        <w:rPr>
          <w:sz w:val="24"/>
          <w:szCs w:val="18"/>
          <w:lang w:val="es-MX"/>
        </w:rPr>
        <w:fldChar w:fldCharType="end"/>
      </w:r>
      <w:r w:rsidR="008F2B06">
        <w:rPr>
          <w:sz w:val="24"/>
          <w:szCs w:val="18"/>
          <w:lang w:val="es-MX"/>
        </w:rPr>
        <w:t xml:space="preserve">. En caso de la cita lleva </w:t>
      </w:r>
      <w:r w:rsidR="008F2B06" w:rsidRPr="008F2B06">
        <w:rPr>
          <w:sz w:val="24"/>
          <w:szCs w:val="18"/>
          <w:lang w:val="es-MX"/>
        </w:rPr>
        <w:t>más de tres autores</w:t>
      </w:r>
      <w:r w:rsidR="008F2B06">
        <w:rPr>
          <w:sz w:val="24"/>
          <w:szCs w:val="18"/>
          <w:lang w:val="es-MX"/>
        </w:rPr>
        <w:t xml:space="preserve">: </w:t>
      </w:r>
      <w:r w:rsidR="008F1522">
        <w:rPr>
          <w:sz w:val="24"/>
          <w:szCs w:val="18"/>
          <w:lang w:val="es-MX"/>
        </w:rPr>
        <w:fldChar w:fldCharType="begin" w:fldLock="1"/>
      </w:r>
      <w:r w:rsidR="00284B0E">
        <w:rPr>
          <w:sz w:val="24"/>
          <w:szCs w:val="18"/>
          <w:lang w:val="es-MX"/>
        </w:rPr>
        <w:instrText>ADDIN CSL_CITATION {"citationItems":[{"id":"ITEM-1","itemData":{"DOI":"10.17163/lgr.n32.2020.09","ISSN":"1390-8596","abstract":"The Tungurahua volcano, located in the eastern mountain range of Ecuador, since its reactivation in 1999 has had several phases of volcanic activity, which have produced gas, ash and lava emissions. These emissions release a large amount of metals to nearby soils that are currently used for agricultural purposes. Metal pollution can cause serious problems for human health; while other metals are necessary as nutrients in most agricultural crops. In this investigation, the metal content in agricultural soils of the Quero canton was evaluated, as well as its bioavailability and content in the culture of Allium fistulosum L., in order to obtain information on the impact of potentially polluting metals (cadmium, lead, nickel, strontium, cobalt, copper and zinc) and nutrients (potassium, magnesium, iron and manganese) on crops. For the estimation of total metals in soil an acid digestion was performed; for bioavailable metals an extractant mixture (EDTA-Triethanolamine-CaCl2, pH 7) was used and for the branch onion a calcination followed by acid digestion was carried out. The quantification of the metals was carried out by flame atomic absorption spectroscopy or graphite furnace. The results showed that the metal content, both in the soil samples and in the branch onion, was below the maximum values allowed in the local regulations for all the metals studied. In addition,the intake of the metal by the branch onion was independent of the bioavailable fraction.","author":[{"dropping-particle":"","family":"Briceño","given":"Jorge","non-dropping-particle":"","parse-names":false,"suffix":""},{"dropping-particle":"","family":"Tonato","given":"Evelyn","non-dropping-particle":"","parse-names":false,"suffix":""},{"dropping-particle":"","family":"Silva","given":"Mónica","non-dropping-particle":"","parse-names":false,"suffix":""},{"dropping-particle":"","family":"Paredes","given":"Mayra","non-dropping-particle":"","parse-names":false,"suffix":""},{"dropping-particle":"","family":"Armado","given":"Arnaldo","non-dropping-particle":"","parse-names":false,"suffix":""}],"container-title":"La Granja","id":"ITEM-1","issue":"2","issued":{"date-parts":[["2020","8","28"]]},"page":"114-126","title":"Impact of metal content in agricultural soils near the Tungurahua volcano on the cultivation of Allium fistulosum L","type":"article-journal","volume":"32"},"uris":["http://www.mendeley.com/documents/?uuid=3bcf886b-bbbe-4c6c-b3f6-4f5e6b6726b8"]}],"mendeley":{"formattedCitation":"(Briceño et al., 2020)","manualFormatting":"Briceño et al. (2020)","plainTextFormattedCitation":"(Briceño et al., 2020)","previouslyFormattedCitation":"(Briceño et al., 2020)"},"properties":{"noteIndex":0},"schema":"https://github.com/citation-style-language/schema/raw/master/csl-citation.json"}</w:instrText>
      </w:r>
      <w:r w:rsidR="008F1522">
        <w:rPr>
          <w:sz w:val="24"/>
          <w:szCs w:val="18"/>
          <w:lang w:val="es-MX"/>
        </w:rPr>
        <w:fldChar w:fldCharType="separate"/>
      </w:r>
      <w:r w:rsidR="008F1522" w:rsidRPr="008F1522">
        <w:rPr>
          <w:noProof/>
          <w:sz w:val="24"/>
          <w:szCs w:val="18"/>
          <w:lang w:val="es-MX"/>
        </w:rPr>
        <w:t xml:space="preserve">Briceño et al. </w:t>
      </w:r>
      <w:r w:rsidR="008F1522">
        <w:rPr>
          <w:noProof/>
          <w:sz w:val="24"/>
          <w:szCs w:val="18"/>
          <w:lang w:val="es-MX"/>
        </w:rPr>
        <w:t>(</w:t>
      </w:r>
      <w:r w:rsidR="008F1522" w:rsidRPr="008F1522">
        <w:rPr>
          <w:noProof/>
          <w:sz w:val="24"/>
          <w:szCs w:val="18"/>
          <w:lang w:val="es-MX"/>
        </w:rPr>
        <w:t>2020)</w:t>
      </w:r>
      <w:r w:rsidR="008F1522">
        <w:rPr>
          <w:sz w:val="24"/>
          <w:szCs w:val="18"/>
          <w:lang w:val="es-MX"/>
        </w:rPr>
        <w:fldChar w:fldCharType="end"/>
      </w:r>
      <w:r w:rsidR="008F1522">
        <w:rPr>
          <w:sz w:val="24"/>
          <w:szCs w:val="18"/>
          <w:lang w:val="es-MX"/>
        </w:rPr>
        <w:t xml:space="preserve"> </w:t>
      </w:r>
      <w:r w:rsidRPr="0066441A">
        <w:rPr>
          <w:sz w:val="24"/>
          <w:szCs w:val="18"/>
          <w:lang w:val="es-MX"/>
        </w:rPr>
        <w:t>o</w:t>
      </w:r>
      <w:r w:rsidR="008F1522">
        <w:rPr>
          <w:sz w:val="24"/>
          <w:szCs w:val="18"/>
          <w:lang w:val="es-MX"/>
        </w:rPr>
        <w:t xml:space="preserve"> </w:t>
      </w:r>
      <w:r w:rsidR="008F1522">
        <w:rPr>
          <w:sz w:val="24"/>
          <w:szCs w:val="18"/>
          <w:lang w:val="es-MX"/>
        </w:rPr>
        <w:fldChar w:fldCharType="begin" w:fldLock="1"/>
      </w:r>
      <w:r w:rsidR="00284B0E">
        <w:rPr>
          <w:sz w:val="24"/>
          <w:szCs w:val="18"/>
          <w:lang w:val="es-MX"/>
        </w:rPr>
        <w:instrText>ADDIN CSL_CITATION {"citationItems":[{"id":"ITEM-1","itemData":{"DOI":"10.17163/lgr.n32.2020.09","ISSN":"1390-8596","abstract":"The Tungurahua volcano, located in the eastern mountain range of Ecuador, since its reactivation in 1999 has had several phases of volcanic activity, which have produced gas, ash and lava emissions. These emissions release a large amount of metals to nearby soils that are currently used for agricultural purposes. Metal pollution can cause serious problems for human health; while other metals are necessary as nutrients in most agricultural crops. In this investigation, the metal content in agricultural soils of the Quero canton was evaluated, as well as its bioavailability and content in the culture of Allium fistulosum L., in order to obtain information on the impact of potentially polluting metals (cadmium, lead, nickel, strontium, cobalt, copper and zinc) and nutrients (potassium, magnesium, iron and manganese) on crops. For the estimation of total metals in soil an acid digestion was performed; for bioavailable metals an extractant mixture (EDTA-Triethanolamine-CaCl2, pH 7) was used and for the branch onion a calcination followed by acid digestion was carried out. The quantification of the metals was carried out by flame atomic absorption spectroscopy or graphite furnace. The results showed that the metal content, both in the soil samples and in the branch onion, was below the maximum values allowed in the local regulations for all the metals studied. In addition,the intake of the metal by the branch onion was independent of the bioavailable fraction.","author":[{"dropping-particle":"","family":"Briceño","given":"Jorge","non-dropping-particle":"","parse-names":false,"suffix":""},{"dropping-particle":"","family":"Tonato","given":"Evelyn","non-dropping-particle":"","parse-names":false,"suffix":""},{"dropping-particle":"","family":"Silva","given":"Mónica","non-dropping-particle":"","parse-names":false,"suffix":""},{"dropping-particle":"","family":"Paredes","given":"Mayra","non-dropping-particle":"","parse-names":false,"suffix":""},{"dropping-particle":"","family":"Armado","given":"Arnaldo","non-dropping-particle":"","parse-names":false,"suffix":""}],"container-title":"La Granja","id":"ITEM-1","issue":"2","issued":{"date-parts":[["2020","8","28"]]},"page":"114-126","title":"Impact of metal content in agricultural soils near the Tungurahua volcano on the cultivation of Allium fistulosum L","type":"article-journal","volume":"32"},"uris":["http://www.mendeley.com/documents/?uuid=3bcf886b-bbbe-4c6c-b3f6-4f5e6b6726b8"]}],"mendeley":{"formattedCitation":"(Briceño et al., 2020)","plainTextFormattedCitation":"(Briceño et al., 2020)","previouslyFormattedCitation":"(Briceño et al., 2020)"},"properties":{"noteIndex":0},"schema":"https://github.com/citation-style-language/schema/raw/master/csl-citation.json"}</w:instrText>
      </w:r>
      <w:r w:rsidR="008F1522">
        <w:rPr>
          <w:sz w:val="24"/>
          <w:szCs w:val="18"/>
          <w:lang w:val="es-MX"/>
        </w:rPr>
        <w:fldChar w:fldCharType="separate"/>
      </w:r>
      <w:r w:rsidR="00284B0E" w:rsidRPr="00284B0E">
        <w:rPr>
          <w:noProof/>
          <w:sz w:val="24"/>
          <w:szCs w:val="18"/>
          <w:lang w:val="es-MX"/>
        </w:rPr>
        <w:t>(Briceño et al., 2020)</w:t>
      </w:r>
      <w:r w:rsidR="008F1522">
        <w:rPr>
          <w:sz w:val="24"/>
          <w:szCs w:val="18"/>
          <w:lang w:val="es-MX"/>
        </w:rPr>
        <w:fldChar w:fldCharType="end"/>
      </w:r>
      <w:r w:rsidRPr="0066441A">
        <w:rPr>
          <w:sz w:val="24"/>
          <w:szCs w:val="18"/>
          <w:lang w:val="es-MX"/>
        </w:rPr>
        <w:t>. Cuando se citen varios trabajos a la vez, ordenarlos cronológicamente</w:t>
      </w:r>
      <w:r w:rsidR="008F1522">
        <w:rPr>
          <w:sz w:val="24"/>
          <w:szCs w:val="18"/>
          <w:lang w:val="es-MX"/>
        </w:rPr>
        <w:t xml:space="preserve"> </w:t>
      </w:r>
      <w:r w:rsidR="008F1522">
        <w:rPr>
          <w:sz w:val="24"/>
          <w:szCs w:val="18"/>
          <w:lang w:val="es-MX"/>
        </w:rPr>
        <w:fldChar w:fldCharType="begin" w:fldLock="1"/>
      </w:r>
      <w:r w:rsidR="00284B0E">
        <w:rPr>
          <w:sz w:val="24"/>
          <w:szCs w:val="18"/>
          <w:lang w:val="es-MX"/>
        </w:rPr>
        <w:instrText>ADDIN CSL_CITATION {"citationItems":[{"id":"ITEM-1","itemData":{"DOI":"10.1016/B978-0-443-14034-1.00003-4","author":[{"dropping-particle":"","family":"Sparks","given":"Donald L.","non-dropping-particle":"","parse-names":false,"suffix":""},{"dropping-particle":"","family":"Singh","given":"Balwant","non-dropping-particle":"","parse-names":false,"suffix":""},{"dropping-particle":"","family":"Siebecker","given":"Matthew G.","non-dropping-particle":"","parse-names":false,"suffix":""}],"container-title":"Environmental Soil Chemistry","id":"ITEM-1","issued":{"date-parts":[["2024"]]},"page":"105-167","publisher":"Elsevier","title":"Chemistry of Soil Organic Matter","type":"chapter"},"uris":["http://www.mendeley.com/documents/?uuid=5665a89b-9177-40f1-b77b-0382d94ed003"]},{"id":"ITEM-2","itemData":{"DOI":"10.1016/j.envres.2023.115328","ISSN":"00139351","PMID":"36693463","author":[{"dropping-particle":"","family":"Gui","given":"Han","non-dropping-particle":"","parse-names":false,"suffix":""},{"dropping-particle":"","family":"Yang","given":"Qingchun","non-dropping-particle":"","parse-names":false,"suffix":""},{"dropping-particle":"","family":"Lu","given":"Xingyu","non-dropping-particle":"","parse-names":false,"suffix":""},{"dropping-particle":"","family":"Wang","given":"Hualin","non-dropping-particle":"","parse-names":false,"suffix":""},{"dropping-particle":"","family":"Gu","given":"Qingbao","non-dropping-particle":"","parse-names":false,"suffix":""},{"dropping-particle":"","family":"Martín","given":"Jordi Delgado","non-dropping-particle":"","parse-names":false,"suffix":""}],"container-title":"Environmental Research","id":"ITEM-2","issued":{"date-parts":[["2023","4"]]},"page":"115328","publisher":"Elsevier BV","title":"Spatial distribution, contamination characteristics and ecological-health risk assessment of toxic heavy metals in soils near a smelting area","type":"article-journal","volume":"222"},"uris":["http://www.mendeley.com/documents/?uuid=104e99a5-810b-3509-bfbc-f7855faa1d49"]},{"id":"ITEM-3","itemData":{"DOI":"10.1016/j.scitotenv.2020.140897","ISSN":"18791026","PMID":"32711319","abstract":"Extra-Andean Patagonia, located in the south end of South America, is a wide arid region where the basaltic plateau landscape dominates. Associated with the basaltic plateaus, wet meadows and shallow lakes make up environments of relevance due to the ecosystemic services they provide. The aim of this work was to define the processes and factors that condition the hydrodynamics and hydrogeochemistry of wet meadows and shallow lakes in a sector of the Patagonian plateau basalts. For this, detailed geological and geomorphological studies were carried out and water was sampled at 29 points for the analysis of major ions and, in some samples, stable isotopes of the water molecule. Values of $δ$18O and $δ$2H similar to the local meteoric line in the water of wet meadows indicate that rainwater quickly infiltrates through the fractures of the basaltic plateaus and stores in the underlying sediments. Groundwater discharge occurs in the scarp zone due to changes in sediment permeability. The weathering of silicates in basalts, ion exchange in the sediment clays, and the dissolution of soluble salts provided by the dust control water chemistry of this wetland. Water from wet meadows drains into saline endorheic basins of sodium chloride composition where the isotopic signal is indicative of evaporation percentages close to 95%. The high evaporation rates cause the precipitation of evaporitic salts at the edges of shallow lakes with carbonate, sulfate, and chloride species controlled by the dominance of sodium in the water.","author":[{"dropping-particle":"","family":"Melendi","given":"Edoardo","non-dropping-particle":"","parse-names":false,"suffix":""},{"dropping-particle":"","family":"Tanjal","given":"Carolina","non-dropping-particle":"","parse-names":false,"suffix":""},{"dropping-particle":"","family":"Borzi","given":"Guido","non-dropping-particle":"","parse-names":false,"suffix":""},{"dropping-particle":"","family":"Raigemborn","given":"María Sol","non-dropping-particle":"","parse-names":false,"suffix":""},{"dropping-particle":"","family":"Carol","given":"Eleonora","non-dropping-particle":"","parse-names":false,"suffix":""}],"container-title":"Science of the Total Environment","id":"ITEM-3","issued":{"date-parts":[["2020"]]},"page":"140897","publisher":"Elsevier B.V","title":"Hydrodynamic and hydrochemistry of wet meadows and shallow lakes in areas of the Patagonian basaltic plateaus, Argentina","type":"article-journal","volume":"744"},"uris":["http://www.mendeley.com/documents/?uuid=2cdb5e85-52e6-4bac-8023-aece7378c437"]},{"id":"ITEM-4","itemData":{"DOI":"10.1002/clen.201300318","abstract":"©2015 WILEY-VCH Verlag GmbH &amp; Co. KGaA, Weinheim.The metals uptake by plants crops grown on garden soils surrounding three mining areas in South Morocco and the assessment of the potential health risk associated with human consumption of edible crops collected were investigated. Results indicated that high metal concentration of Co, Cr, Cu, Mn, and Ni in aerial parts of the aromatic plants and vegetables from mines A and B exceed the usual values reported in literature. The values of daily intake of metals (DIM) lower than oral reference dose (RfD) and health risk index &lt;1, indicating that the consumption of edible and aromatic plants grown in garden soils is relatively free of risks. However, consumption of the plants from mine A represents an average of 1% of RfD for Mn. This value is relatively important and remains high as compared to contribution of other food sources. The prevention of environmental risks associated with gardening in urban and industrial areas is necessary and essential to propose recommendations both to gardeners and to decision-makers. In order to evaluate the contribution of atmospheric deposition to the metal transfer to plants from three mining areas located in south of Morocco, the heavy metals in rinsing water of plants were determined. The results showed high concentration of Mn in the plant eluates from mine A, which reveals the important role of wind in the dissemination of Mn oxide particles.","author":[{"dropping-particle":"","family":"Hamiani","given":"Ouafae","non-dropping-particle":"El","parse-names":false,"suffix":""},{"dropping-particle":"","family":"Khalil","given":"Hicham","non-dropping-particle":"El","parse-names":false,"suffix":""},{"dropping-particle":"","family":"Sirguey","given":"Catherine","non-dropping-particle":"","parse-names":false,"suffix":""},{"dropping-particle":"","family":"Ouhammou","given":"Ahmed","non-dropping-particle":"","parse-names":false,"suffix":""},{"dropping-particle":"","family":"Bitton","given":"Gabriel","non-dropping-particle":"","parse-names":false,"suffix":""},{"dropping-particle":"","family":"Schwartz","given":"Christophe","non-dropping-particle":"","parse-names":false,"suffix":""},{"dropping-particle":"","family":"Boularbah","given":"Ali","non-dropping-particle":"","parse-names":false,"suffix":""}],"container-title":"Clean - Soil, Air, Water","id":"ITEM-4","issue":"3","issued":{"date-parts":[["2015"]]},"page":"399-407","title":"Metal concentrations in plants from mining areas in South Morocco: Health risks assessment of consumption of edible and aromatic plants","type":"article-journal","volume":"43"},"uris":["http://www.mendeley.com/documents/?uuid=fe25fbe7-0ff1-46f7-b31e-ddffef8c8842"]}],"mendeley":{"formattedCitation":"(El Hamiani et al., 2015; Gui et al., 2023; Melendi et al., 2020; Sparks et al., 2024)","plainTextFormattedCitation":"(El Hamiani et al., 2015; Gui et al., 2023; Melendi et al., 2020; Sparks et al., 2024)","previouslyFormattedCitation":"(El Hamiani et al., 2015; Gui et al., 2023; Melendi et al., 2020; Sparks et al., 2024)"},"properties":{"noteIndex":0},"schema":"https://github.com/citation-style-language/schema/raw/master/csl-citation.json"}</w:instrText>
      </w:r>
      <w:r w:rsidR="008F1522">
        <w:rPr>
          <w:sz w:val="24"/>
          <w:szCs w:val="18"/>
          <w:lang w:val="es-MX"/>
        </w:rPr>
        <w:fldChar w:fldCharType="separate"/>
      </w:r>
      <w:r w:rsidR="00284B0E" w:rsidRPr="00284B0E">
        <w:rPr>
          <w:noProof/>
          <w:sz w:val="24"/>
          <w:szCs w:val="18"/>
          <w:lang w:val="es-MX"/>
        </w:rPr>
        <w:t>(El Hamiani et al., 2015; Gui et al., 2023; Melendi et al., 2020; Sparks et al., 2024)</w:t>
      </w:r>
      <w:r w:rsidR="008F1522">
        <w:rPr>
          <w:sz w:val="24"/>
          <w:szCs w:val="18"/>
          <w:lang w:val="es-MX"/>
        </w:rPr>
        <w:fldChar w:fldCharType="end"/>
      </w:r>
      <w:r w:rsidR="008F1522">
        <w:rPr>
          <w:sz w:val="24"/>
          <w:szCs w:val="18"/>
          <w:lang w:val="es-MX"/>
        </w:rPr>
        <w:t xml:space="preserve">. </w:t>
      </w:r>
      <w:r w:rsidRPr="0066441A">
        <w:rPr>
          <w:sz w:val="24"/>
          <w:szCs w:val="18"/>
          <w:lang w:val="es-MX"/>
        </w:rPr>
        <w:t>Cuando se citen a los mismos autores que hayan publicado más de una referencia en el mismo año, se diferenciarán con las letras a, b, c, etc., colocadas inmediatamente después del año de publicación. Si son tres o más autores colar solo el apellido del primero y luego et al. Seguido del año</w:t>
      </w:r>
      <w:r w:rsidR="008F1522">
        <w:rPr>
          <w:sz w:val="24"/>
          <w:szCs w:val="18"/>
          <w:lang w:val="es-MX"/>
        </w:rPr>
        <w:t xml:space="preserve"> </w:t>
      </w:r>
      <w:r w:rsidR="008F1522">
        <w:rPr>
          <w:sz w:val="24"/>
          <w:szCs w:val="18"/>
          <w:lang w:val="es-MX"/>
        </w:rPr>
        <w:fldChar w:fldCharType="begin" w:fldLock="1"/>
      </w:r>
      <w:r w:rsidR="00284B0E">
        <w:rPr>
          <w:sz w:val="24"/>
          <w:szCs w:val="18"/>
          <w:lang w:val="es-MX"/>
        </w:rPr>
        <w:instrText>ADDIN CSL_CITATION {"citationItems":[{"id":"ITEM-1","itemData":{"DOI":"10.1016/B978-0-323-85591-4.00011-8","author":[{"dropping-particle":"","family":"Bahukhandi","given":"Amit","non-dropping-particle":"","parse-names":false,"suffix":""},{"dropping-particle":"","family":"Attri","given":"Dharam C.","non-dropping-particle":"","parse-names":false,"suffix":""},{"dropping-particle":"","family":"Mehra","given":"Tanuja","non-dropping-particle":"","parse-names":false,"suffix":""},{"dropping-particle":"","family":"Bhatt","given":"Indra D.","non-dropping-particle":"","parse-names":false,"suffix":""}],"container-title":"Himalayan Fruits and Berries","id":"ITEM-1","issued":{"date-parts":[["2023"]]},"page":"183-196","publisher":"Elsevier","title":"Fragaria spp. (Fragaria indica, Fragaria nubicola)","type":"chapter"},"uris":["http://www.mendeley.com/documents/?uuid=53983a88-3e4b-440d-8040-ecc1acc2afb6"]}],"mendeley":{"formattedCitation":"(Bahukhandi et al., 2023)","plainTextFormattedCitation":"(Bahukhandi et al., 2023)","previouslyFormattedCitation":"(Bahukhandi et al., 2023)"},"properties":{"noteIndex":0},"schema":"https://github.com/citation-style-language/schema/raw/master/csl-citation.json"}</w:instrText>
      </w:r>
      <w:r w:rsidR="008F1522">
        <w:rPr>
          <w:sz w:val="24"/>
          <w:szCs w:val="18"/>
          <w:lang w:val="es-MX"/>
        </w:rPr>
        <w:fldChar w:fldCharType="separate"/>
      </w:r>
      <w:r w:rsidR="00284B0E" w:rsidRPr="00284B0E">
        <w:rPr>
          <w:noProof/>
          <w:sz w:val="24"/>
          <w:szCs w:val="18"/>
          <w:lang w:val="es-MX"/>
        </w:rPr>
        <w:t>(Bahukhandi et al., 2023)</w:t>
      </w:r>
      <w:r w:rsidR="008F1522">
        <w:rPr>
          <w:sz w:val="24"/>
          <w:szCs w:val="18"/>
          <w:lang w:val="es-MX"/>
        </w:rPr>
        <w:fldChar w:fldCharType="end"/>
      </w:r>
      <w:r w:rsidRPr="0066441A">
        <w:rPr>
          <w:sz w:val="24"/>
          <w:szCs w:val="18"/>
          <w:lang w:val="es-MX"/>
        </w:rPr>
        <w:t>. De cualquier manera, las referencias completas citadas en el texto, sin excepción, deberán incluirse en Referencias Bibliográficas y viceversa, es decir, todas las referencias incluidas deben ser citadas en el texto.</w:t>
      </w:r>
    </w:p>
    <w:p w14:paraId="6B0B8493" w14:textId="77777777" w:rsidR="00FC65BB" w:rsidRPr="0066441A" w:rsidRDefault="00FC65BB" w:rsidP="0066441A">
      <w:pPr>
        <w:pStyle w:val="Text"/>
        <w:spacing w:line="360" w:lineRule="auto"/>
        <w:ind w:firstLine="0"/>
        <w:rPr>
          <w:sz w:val="24"/>
          <w:szCs w:val="18"/>
          <w:lang w:val="es-MX"/>
        </w:rPr>
      </w:pPr>
    </w:p>
    <w:p w14:paraId="18A2CF08" w14:textId="77777777" w:rsidR="00DD3D6F" w:rsidRDefault="00DD3D6F" w:rsidP="00FF4845">
      <w:pPr>
        <w:spacing w:before="240" w:line="360" w:lineRule="auto"/>
        <w:jc w:val="center"/>
        <w:rPr>
          <w:rFonts w:ascii="Times New Roman" w:hAnsi="Times New Roman" w:cs="Times New Roman"/>
          <w:b/>
          <w:sz w:val="24"/>
          <w:lang w:val="es-CO"/>
        </w:rPr>
      </w:pPr>
      <w:r w:rsidRPr="00DD3D6F">
        <w:rPr>
          <w:rFonts w:ascii="Times New Roman" w:hAnsi="Times New Roman" w:cs="Times New Roman"/>
          <w:b/>
          <w:sz w:val="24"/>
          <w:lang w:val="es-CO"/>
        </w:rPr>
        <w:t>II. MATERIALES Y MÉTODOS</w:t>
      </w:r>
    </w:p>
    <w:p w14:paraId="38ED2166" w14:textId="33E9DB63" w:rsidR="00DD3D6F" w:rsidRPr="008F1522" w:rsidRDefault="00DD3D6F" w:rsidP="00DD3D6F">
      <w:pPr>
        <w:spacing w:before="240" w:line="360" w:lineRule="auto"/>
        <w:jc w:val="both"/>
        <w:rPr>
          <w:rFonts w:ascii="Times New Roman" w:hAnsi="Times New Roman" w:cs="Times New Roman"/>
          <w:color w:val="808080" w:themeColor="background1" w:themeShade="80"/>
          <w:sz w:val="24"/>
          <w:lang w:val="es-CO"/>
        </w:rPr>
      </w:pPr>
      <w:r w:rsidRPr="008F1522">
        <w:rPr>
          <w:rFonts w:ascii="Times New Roman" w:hAnsi="Times New Roman" w:cs="Times New Roman"/>
          <w:color w:val="808080" w:themeColor="background1" w:themeShade="80"/>
          <w:sz w:val="24"/>
          <w:lang w:val="es-CO"/>
        </w:rPr>
        <w:t>Describir los materiales y procedimientos utilizados, las medidas y unidades de las variables, así como el tratamiento estadístico, si lo hubiera, de manera que cualquier investigador pueda repetir el estudio. La información de esta sección debe ser congruente con los objetivos. Los métodos de laboratorio también deben ser suficientemente descritos para poder reproducirlos; si son comunes, bastará con indicar la referencia bibliográfica respectiva.</w:t>
      </w:r>
    </w:p>
    <w:p w14:paraId="235DAED4" w14:textId="643F2D9B" w:rsidR="008F1522" w:rsidRDefault="008F1522" w:rsidP="00DD3D6F">
      <w:pPr>
        <w:spacing w:before="240" w:line="360" w:lineRule="auto"/>
        <w:jc w:val="both"/>
        <w:rPr>
          <w:rFonts w:ascii="Times New Roman" w:hAnsi="Times New Roman" w:cs="Times New Roman"/>
          <w:sz w:val="24"/>
          <w:lang w:val="es-CO"/>
        </w:rPr>
      </w:pPr>
      <w:r w:rsidRPr="00646CB5">
        <w:rPr>
          <w:rFonts w:ascii="Times New Roman" w:hAnsi="Times New Roman" w:cs="Times New Roman"/>
          <w:sz w:val="24"/>
          <w:szCs w:val="24"/>
        </w:rPr>
        <w:t xml:space="preserve">Se tomaron treinta y dos muestras, para lo cual se utilizó el método aleatorio estratificado, dentro de los distintos lugares fijados se excavó de 10-30 cm de profundidad tomando 1-2 kg de suelo aproximadamente. Las muestras fueron trasladadas al laboratorio en bolsas de polietileno limpias debidamente etiquetadas y almacenadas adecuadamente hasta su análisis. Las muestras de suelo fueron </w:t>
      </w:r>
      <w:r w:rsidRPr="00646CB5">
        <w:rPr>
          <w:rFonts w:ascii="Times New Roman" w:hAnsi="Times New Roman" w:cs="Times New Roman"/>
          <w:sz w:val="24"/>
          <w:szCs w:val="24"/>
        </w:rPr>
        <w:lastRenderedPageBreak/>
        <w:t>secadas a temperatura ambiente, molidas empleando un mortero de cerámica y finalmente tamizadas con una malla No. 14</w:t>
      </w:r>
      <w:r w:rsidR="00FB12E9">
        <w:rPr>
          <w:rFonts w:ascii="Times New Roman" w:hAnsi="Times New Roman" w:cs="Times New Roman"/>
          <w:sz w:val="24"/>
          <w:szCs w:val="24"/>
        </w:rPr>
        <w:t xml:space="preserve"> </w:t>
      </w:r>
      <w:r w:rsidR="00FB12E9">
        <w:rPr>
          <w:rFonts w:ascii="Times New Roman" w:hAnsi="Times New Roman" w:cs="Times New Roman"/>
          <w:sz w:val="24"/>
          <w:szCs w:val="24"/>
        </w:rPr>
        <w:fldChar w:fldCharType="begin" w:fldLock="1"/>
      </w:r>
      <w:r w:rsidR="008F2B06">
        <w:rPr>
          <w:rFonts w:ascii="Times New Roman" w:hAnsi="Times New Roman" w:cs="Times New Roman"/>
          <w:sz w:val="24"/>
          <w:szCs w:val="24"/>
        </w:rPr>
        <w:instrText>ADDIN CSL_CITATION {"citationItems":[{"id":"ITEM-1","itemData":{"DOI":"10.3390/s8042413","ISBN":"10.3390/s8042413","ISSN":"14248220","PMID":"27879826","abstract":"Heavy metal concentrations were measured in soils and plants in and around a copper-tungsten mine in southeast Korea to investigate the influence of past base metal mining on the surface environment. The results of chemical analysis indicate that the heavy metals in soils decreased with distance from the source, controlled mainly by water movement and topography. The metal concentrations measured in plant species generally decreased in the order; spring onions &gt; soybean leaves &gt; perilla leaves » red pepper &gt; corn grains » jujube grains, although this pattern varied moderately between different elements. The results agree with other reports that metal concentrations in leaves are usually much higher than those in grain. Factors influencing the bioavailability of metals and their occurrences in crops were found as soil pH, cation exchange capacity, organic matter content, soil texture, and interaction among the target elements. It is concluded that total metal concentrations in soils are the main controls on their contents in plants. Soil pH was also an important factor. A stepwise linear multiple regression analysis was also conducted to identify the dominant factors influencing metal uptake by plants. Metal concentrations in plants were also estimated by computer-aided statistical methods.","author":[{"dropping-particle":"","family":"Jung","given":"Myung Chae","non-dropping-particle":"","parse-names":false,"suffix":""}],"container-title":"Sensors","id":"ITEM-1","issue":"4","issued":{"date-parts":[["2008"]]},"page":"2413-2423","title":"Heavy metal concentrations in soils and factors affecting metal uptake by plants in the vicinity of a Korean Cu-W mine","type":"article-journal","volume":"8"},"uris":["http://www.mendeley.com/documents/?uuid=84c70597-206c-41e8-bbe4-0e8f0b4c7af9"]}],"mendeley":{"formattedCitation":"(Jung, 2008)","plainTextFormattedCitation":"(Jung, 2008)","previouslyFormattedCitation":"(Jung, 2008)"},"properties":{"noteIndex":0},"schema":"https://github.com/citation-style-language/schema/raw/master/csl-citation.json"}</w:instrText>
      </w:r>
      <w:r w:rsidR="00FB12E9">
        <w:rPr>
          <w:rFonts w:ascii="Times New Roman" w:hAnsi="Times New Roman" w:cs="Times New Roman"/>
          <w:sz w:val="24"/>
          <w:szCs w:val="24"/>
        </w:rPr>
        <w:fldChar w:fldCharType="separate"/>
      </w:r>
      <w:r w:rsidR="00FB12E9" w:rsidRPr="00FB12E9">
        <w:rPr>
          <w:rFonts w:ascii="Times New Roman" w:hAnsi="Times New Roman" w:cs="Times New Roman"/>
          <w:noProof/>
          <w:sz w:val="24"/>
          <w:szCs w:val="24"/>
        </w:rPr>
        <w:t>(Jung, 2008)</w:t>
      </w:r>
      <w:r w:rsidR="00FB12E9">
        <w:rPr>
          <w:rFonts w:ascii="Times New Roman" w:hAnsi="Times New Roman" w:cs="Times New Roman"/>
          <w:sz w:val="24"/>
          <w:szCs w:val="24"/>
        </w:rPr>
        <w:fldChar w:fldCharType="end"/>
      </w:r>
      <w:r w:rsidRPr="00646CB5">
        <w:rPr>
          <w:rFonts w:ascii="Times New Roman" w:hAnsi="Times New Roman" w:cs="Times New Roman"/>
          <w:sz w:val="24"/>
          <w:szCs w:val="24"/>
        </w:rPr>
        <w:t>.</w:t>
      </w:r>
    </w:p>
    <w:p w14:paraId="0C8B831C" w14:textId="77777777" w:rsidR="008F1522" w:rsidRDefault="008F1522" w:rsidP="00DD3D6F">
      <w:pPr>
        <w:spacing w:before="240" w:line="360" w:lineRule="auto"/>
        <w:jc w:val="both"/>
        <w:rPr>
          <w:rFonts w:ascii="Times New Roman" w:hAnsi="Times New Roman" w:cs="Times New Roman"/>
          <w:sz w:val="24"/>
          <w:lang w:val="es-CO"/>
        </w:rPr>
      </w:pPr>
    </w:p>
    <w:p w14:paraId="7C27286F" w14:textId="77777777" w:rsidR="00F06238" w:rsidRPr="00F06238" w:rsidRDefault="00F06238" w:rsidP="00F06238">
      <w:pPr>
        <w:spacing w:before="240" w:line="360" w:lineRule="auto"/>
        <w:jc w:val="center"/>
        <w:rPr>
          <w:rFonts w:ascii="Times New Roman" w:hAnsi="Times New Roman" w:cs="Times New Roman"/>
          <w:b/>
          <w:sz w:val="24"/>
          <w:lang w:val="es-CO"/>
        </w:rPr>
      </w:pPr>
      <w:r w:rsidRPr="00F06238">
        <w:rPr>
          <w:rFonts w:ascii="Times New Roman" w:hAnsi="Times New Roman" w:cs="Times New Roman"/>
          <w:b/>
          <w:sz w:val="24"/>
          <w:lang w:val="es-CO"/>
        </w:rPr>
        <w:t>III. RESULTADOS Y DISCUSIÓN</w:t>
      </w:r>
    </w:p>
    <w:p w14:paraId="05471720" w14:textId="77777777" w:rsidR="00F06238" w:rsidRDefault="00ED455E" w:rsidP="00DD3D6F">
      <w:pPr>
        <w:spacing w:before="240" w:line="360" w:lineRule="auto"/>
        <w:jc w:val="both"/>
        <w:rPr>
          <w:rFonts w:ascii="Times New Roman" w:hAnsi="Times New Roman" w:cs="Times New Roman"/>
          <w:sz w:val="24"/>
          <w:lang w:val="es-CO"/>
        </w:rPr>
      </w:pPr>
      <w:r w:rsidRPr="00ED455E">
        <w:rPr>
          <w:rFonts w:ascii="Times New Roman" w:hAnsi="Times New Roman" w:cs="Times New Roman"/>
          <w:sz w:val="24"/>
          <w:lang w:val="es-CO"/>
        </w:rPr>
        <w:t>Presentación e interpretación clara, objetiva e imparcial de los resultados, sin recurrir a la repetición de datos en cuadros y figuras. Discutir su significado de acuerdo con su similitud o contraste con lo publicado por otros autores, así como las posibles causas de tales diferencias, los resultados y discusión pueden redactarse por separado si el autor así lo considere necesario.</w:t>
      </w:r>
    </w:p>
    <w:p w14:paraId="645E04F5" w14:textId="77777777" w:rsidR="003A029F" w:rsidRDefault="003A029F" w:rsidP="00DD3D6F">
      <w:pPr>
        <w:spacing w:before="240" w:line="360" w:lineRule="auto"/>
        <w:jc w:val="both"/>
        <w:rPr>
          <w:rFonts w:ascii="Times New Roman" w:hAnsi="Times New Roman" w:cs="Times New Roman"/>
          <w:sz w:val="24"/>
          <w:lang w:val="es-CO"/>
        </w:rPr>
      </w:pPr>
    </w:p>
    <w:p w14:paraId="134ED037" w14:textId="13FA815C" w:rsidR="00ED455E" w:rsidRPr="00ED455E" w:rsidRDefault="00ED455E" w:rsidP="00ED455E">
      <w:pPr>
        <w:spacing w:before="240" w:line="360" w:lineRule="auto"/>
        <w:jc w:val="center"/>
        <w:rPr>
          <w:rFonts w:ascii="Times New Roman" w:hAnsi="Times New Roman" w:cs="Times New Roman"/>
          <w:b/>
          <w:sz w:val="24"/>
          <w:lang w:val="es-CO"/>
        </w:rPr>
      </w:pPr>
      <w:r w:rsidRPr="00ED455E">
        <w:rPr>
          <w:rFonts w:ascii="Times New Roman" w:hAnsi="Times New Roman" w:cs="Times New Roman"/>
          <w:b/>
          <w:sz w:val="24"/>
          <w:lang w:val="es-CO"/>
        </w:rPr>
        <w:t>IV. CONCLUSIONES</w:t>
      </w:r>
    </w:p>
    <w:p w14:paraId="51967A30" w14:textId="29461B36" w:rsidR="00ED455E" w:rsidRPr="00ED455E" w:rsidRDefault="00ED455E" w:rsidP="00ED455E">
      <w:pPr>
        <w:spacing w:before="240" w:line="360" w:lineRule="auto"/>
        <w:jc w:val="both"/>
        <w:rPr>
          <w:rFonts w:ascii="Times New Roman" w:hAnsi="Times New Roman" w:cs="Times New Roman"/>
          <w:sz w:val="24"/>
          <w:lang w:val="es-CO"/>
        </w:rPr>
      </w:pPr>
      <w:r w:rsidRPr="00ED455E">
        <w:rPr>
          <w:rFonts w:ascii="Times New Roman" w:hAnsi="Times New Roman" w:cs="Times New Roman"/>
          <w:sz w:val="24"/>
          <w:lang w:val="es-CO"/>
        </w:rPr>
        <w:t>Indicar de manera categórica, breve y precisa las aportaciones concretas al conocimiento, apoyadas por los resultados demostrables y comprobables del propio trabajo. No se puede concluir sobre algo no demostrado. Si el autor no considera necesaria la redacción de este apartado está en la libertad de excluirla.</w:t>
      </w:r>
    </w:p>
    <w:p w14:paraId="14DA63B9" w14:textId="77777777" w:rsidR="00D73238" w:rsidRDefault="00ED455E" w:rsidP="0066441A">
      <w:pPr>
        <w:spacing w:before="240" w:line="360" w:lineRule="auto"/>
        <w:jc w:val="center"/>
        <w:rPr>
          <w:rFonts w:ascii="Times New Roman" w:hAnsi="Times New Roman" w:cs="Times New Roman"/>
          <w:b/>
          <w:sz w:val="24"/>
          <w:lang w:val="es-CO"/>
        </w:rPr>
      </w:pPr>
      <w:r>
        <w:rPr>
          <w:rFonts w:ascii="Times New Roman" w:hAnsi="Times New Roman" w:cs="Times New Roman"/>
          <w:b/>
          <w:sz w:val="24"/>
          <w:lang w:val="es-CO"/>
        </w:rPr>
        <w:t>V. AGRADECIMIENTOS</w:t>
      </w:r>
    </w:p>
    <w:p w14:paraId="19307358" w14:textId="397113FC" w:rsidR="00ED455E" w:rsidRPr="00B85A17" w:rsidRDefault="00ED455E" w:rsidP="0066441A">
      <w:pPr>
        <w:spacing w:before="240" w:line="360" w:lineRule="auto"/>
        <w:jc w:val="both"/>
        <w:rPr>
          <w:rFonts w:ascii="Times New Roman" w:hAnsi="Times New Roman" w:cs="Times New Roman"/>
          <w:color w:val="808080" w:themeColor="background1" w:themeShade="80"/>
          <w:sz w:val="24"/>
          <w:lang w:val="es-CO"/>
        </w:rPr>
      </w:pPr>
      <w:r w:rsidRPr="00B85A17">
        <w:rPr>
          <w:rFonts w:ascii="Times New Roman" w:hAnsi="Times New Roman" w:cs="Times New Roman"/>
          <w:color w:val="808080" w:themeColor="background1" w:themeShade="80"/>
          <w:sz w:val="24"/>
          <w:lang w:val="es-CO"/>
        </w:rPr>
        <w:t>Se pueden incluir todas las consideraciones de apoyo a la publicación que el autor y/o autores consideren necesario. Si el autor no considera necesaria la redacción de este apartado está en la libertad de excluirla.</w:t>
      </w:r>
    </w:p>
    <w:p w14:paraId="30EA8C8C" w14:textId="7465D7DA" w:rsidR="00B85A17" w:rsidRDefault="00B85A17" w:rsidP="0066441A">
      <w:pPr>
        <w:spacing w:before="240" w:line="360" w:lineRule="auto"/>
        <w:jc w:val="both"/>
        <w:rPr>
          <w:rFonts w:ascii="Times New Roman" w:hAnsi="Times New Roman" w:cs="Times New Roman"/>
          <w:sz w:val="24"/>
          <w:lang w:val="es-CO"/>
        </w:rPr>
      </w:pPr>
      <w:r w:rsidRPr="00B85A17">
        <w:rPr>
          <w:rFonts w:ascii="Times New Roman" w:hAnsi="Times New Roman" w:cs="Times New Roman"/>
          <w:sz w:val="24"/>
          <w:lang w:val="es-CO"/>
        </w:rPr>
        <w:t>Este trabajo ha sido financiado por la Universidad Estatal de Bolívar a través del proyecto PIV-66-2021, “Desarrollo y optimización de métodos analíticos para la extracción y cuantificación de polifenoles en matrices vegetales” RCU-001-2022-007.</w:t>
      </w:r>
    </w:p>
    <w:p w14:paraId="72C5C737" w14:textId="77777777" w:rsidR="00ED455E" w:rsidRPr="00ED455E" w:rsidRDefault="00ED455E" w:rsidP="0066441A">
      <w:pPr>
        <w:spacing w:before="240" w:line="360" w:lineRule="auto"/>
        <w:jc w:val="center"/>
        <w:rPr>
          <w:rFonts w:ascii="Times New Roman" w:hAnsi="Times New Roman" w:cs="Times New Roman"/>
          <w:b/>
          <w:sz w:val="24"/>
          <w:lang w:val="es-CO"/>
        </w:rPr>
      </w:pPr>
      <w:r w:rsidRPr="00ED455E">
        <w:rPr>
          <w:rFonts w:ascii="Times New Roman" w:hAnsi="Times New Roman" w:cs="Times New Roman"/>
          <w:b/>
          <w:sz w:val="24"/>
          <w:lang w:val="es-CO"/>
        </w:rPr>
        <w:t>VI. REFERENCIAS BIBLIOGRÁFICAS</w:t>
      </w:r>
    </w:p>
    <w:p w14:paraId="2878776D" w14:textId="67BB58A3" w:rsidR="00ED455E" w:rsidRPr="004414F8" w:rsidRDefault="005721A4" w:rsidP="0066441A">
      <w:pPr>
        <w:spacing w:before="240" w:line="360" w:lineRule="auto"/>
        <w:jc w:val="both"/>
        <w:rPr>
          <w:rFonts w:ascii="Times New Roman" w:hAnsi="Times New Roman" w:cs="Times New Roman"/>
          <w:color w:val="808080" w:themeColor="background1" w:themeShade="80"/>
          <w:sz w:val="24"/>
          <w:lang w:val="es-CO"/>
        </w:rPr>
      </w:pPr>
      <w:r w:rsidRPr="004414F8">
        <w:rPr>
          <w:rFonts w:ascii="Times New Roman" w:hAnsi="Times New Roman" w:cs="Times New Roman"/>
          <w:color w:val="808080" w:themeColor="background1" w:themeShade="80"/>
          <w:sz w:val="24"/>
          <w:lang w:val="es-CO"/>
        </w:rPr>
        <w:t xml:space="preserve">La revista de Investigación </w:t>
      </w:r>
      <w:r w:rsidR="004043CD" w:rsidRPr="004414F8">
        <w:rPr>
          <w:rFonts w:ascii="Times New Roman" w:hAnsi="Times New Roman" w:cs="Times New Roman"/>
          <w:color w:val="808080" w:themeColor="background1" w:themeShade="80"/>
          <w:sz w:val="24"/>
          <w:lang w:val="es-CO"/>
        </w:rPr>
        <w:t>ENLACE UNIVERSITARIO</w:t>
      </w:r>
      <w:r w:rsidRPr="004414F8">
        <w:rPr>
          <w:rFonts w:ascii="Times New Roman" w:hAnsi="Times New Roman" w:cs="Times New Roman"/>
          <w:color w:val="808080" w:themeColor="background1" w:themeShade="80"/>
          <w:sz w:val="24"/>
          <w:lang w:val="es-CO"/>
        </w:rPr>
        <w:t xml:space="preserve"> se rige bajo las Normas de la American </w:t>
      </w:r>
      <w:proofErr w:type="spellStart"/>
      <w:r w:rsidRPr="004414F8">
        <w:rPr>
          <w:rFonts w:ascii="Times New Roman" w:hAnsi="Times New Roman" w:cs="Times New Roman"/>
          <w:color w:val="808080" w:themeColor="background1" w:themeShade="80"/>
          <w:sz w:val="24"/>
          <w:lang w:val="es-CO"/>
        </w:rPr>
        <w:t>Psychological</w:t>
      </w:r>
      <w:proofErr w:type="spellEnd"/>
      <w:r w:rsidRPr="004414F8">
        <w:rPr>
          <w:rFonts w:ascii="Times New Roman" w:hAnsi="Times New Roman" w:cs="Times New Roman"/>
          <w:color w:val="808080" w:themeColor="background1" w:themeShade="80"/>
          <w:sz w:val="24"/>
          <w:lang w:val="es-CO"/>
        </w:rPr>
        <w:t xml:space="preserve"> </w:t>
      </w:r>
      <w:proofErr w:type="spellStart"/>
      <w:r w:rsidRPr="004414F8">
        <w:rPr>
          <w:rFonts w:ascii="Times New Roman" w:hAnsi="Times New Roman" w:cs="Times New Roman"/>
          <w:color w:val="808080" w:themeColor="background1" w:themeShade="80"/>
          <w:sz w:val="24"/>
          <w:lang w:val="es-CO"/>
        </w:rPr>
        <w:t>Association</w:t>
      </w:r>
      <w:proofErr w:type="spellEnd"/>
      <w:r w:rsidRPr="004414F8">
        <w:rPr>
          <w:rFonts w:ascii="Times New Roman" w:hAnsi="Times New Roman" w:cs="Times New Roman"/>
          <w:color w:val="808080" w:themeColor="background1" w:themeShade="80"/>
          <w:sz w:val="24"/>
          <w:lang w:val="es-CO"/>
        </w:rPr>
        <w:t xml:space="preserve"> (APA), en su última edición.</w:t>
      </w:r>
      <w:r w:rsidR="00B70D3D" w:rsidRPr="004414F8">
        <w:rPr>
          <w:rFonts w:ascii="Times New Roman" w:hAnsi="Times New Roman" w:cs="Times New Roman"/>
          <w:color w:val="808080" w:themeColor="background1" w:themeShade="80"/>
          <w:sz w:val="24"/>
          <w:lang w:val="es-CO"/>
        </w:rPr>
        <w:t xml:space="preserve"> Se aceptan un mínimo de 15 referencias.</w:t>
      </w:r>
    </w:p>
    <w:p w14:paraId="39DAE784" w14:textId="4968816D" w:rsidR="008F2B06" w:rsidRPr="008F2B06" w:rsidRDefault="00284B0E" w:rsidP="008F2B06">
      <w:pPr>
        <w:widowControl w:val="0"/>
        <w:autoSpaceDE w:val="0"/>
        <w:autoSpaceDN w:val="0"/>
        <w:adjustRightInd w:val="0"/>
        <w:spacing w:before="240" w:line="360" w:lineRule="auto"/>
        <w:ind w:left="480" w:hanging="480"/>
        <w:rPr>
          <w:rFonts w:ascii="Times New Roman" w:hAnsi="Times New Roman" w:cs="Times New Roman"/>
          <w:noProof/>
          <w:sz w:val="24"/>
          <w:szCs w:val="24"/>
        </w:rPr>
      </w:pPr>
      <w:r>
        <w:rPr>
          <w:rFonts w:ascii="Times New Roman" w:hAnsi="Times New Roman" w:cs="Times New Roman"/>
          <w:sz w:val="24"/>
          <w:lang w:val="es-CO"/>
        </w:rPr>
        <w:fldChar w:fldCharType="begin" w:fldLock="1"/>
      </w:r>
      <w:r>
        <w:rPr>
          <w:rFonts w:ascii="Times New Roman" w:hAnsi="Times New Roman" w:cs="Times New Roman"/>
          <w:sz w:val="24"/>
          <w:lang w:val="es-CO"/>
        </w:rPr>
        <w:instrText xml:space="preserve">ADDIN Mendeley Bibliography CSL_BIBLIOGRAPHY </w:instrText>
      </w:r>
      <w:r>
        <w:rPr>
          <w:rFonts w:ascii="Times New Roman" w:hAnsi="Times New Roman" w:cs="Times New Roman"/>
          <w:sz w:val="24"/>
          <w:lang w:val="es-CO"/>
        </w:rPr>
        <w:fldChar w:fldCharType="separate"/>
      </w:r>
      <w:r w:rsidR="008F2B06" w:rsidRPr="008F2B06">
        <w:rPr>
          <w:rFonts w:ascii="Times New Roman" w:hAnsi="Times New Roman" w:cs="Times New Roman"/>
          <w:noProof/>
          <w:sz w:val="24"/>
          <w:szCs w:val="24"/>
        </w:rPr>
        <w:t xml:space="preserve">Bahukhandi, A., Attri, D. C., Mehra, T., &amp; Bhatt, I. D. (2023). Fragaria spp. (Fragaria indica, Fragaria nubicola). In </w:t>
      </w:r>
      <w:r w:rsidR="008F2B06" w:rsidRPr="008F2B06">
        <w:rPr>
          <w:rFonts w:ascii="Times New Roman" w:hAnsi="Times New Roman" w:cs="Times New Roman"/>
          <w:i/>
          <w:iCs/>
          <w:noProof/>
          <w:sz w:val="24"/>
          <w:szCs w:val="24"/>
        </w:rPr>
        <w:t>Himalayan Fruits and Berries</w:t>
      </w:r>
      <w:r w:rsidR="008F2B06" w:rsidRPr="008F2B06">
        <w:rPr>
          <w:rFonts w:ascii="Times New Roman" w:hAnsi="Times New Roman" w:cs="Times New Roman"/>
          <w:noProof/>
          <w:sz w:val="24"/>
          <w:szCs w:val="24"/>
        </w:rPr>
        <w:t xml:space="preserve"> (pp. 183–196). Elsevier. https://doi.org/10.1016/B978-0-323-85591-4.00011-8</w:t>
      </w:r>
    </w:p>
    <w:p w14:paraId="1DF093B0" w14:textId="77777777" w:rsidR="008F2B06" w:rsidRPr="008F2B06" w:rsidRDefault="008F2B06" w:rsidP="008F2B06">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F2B06">
        <w:rPr>
          <w:rFonts w:ascii="Times New Roman" w:hAnsi="Times New Roman" w:cs="Times New Roman"/>
          <w:noProof/>
          <w:sz w:val="24"/>
          <w:szCs w:val="24"/>
        </w:rPr>
        <w:lastRenderedPageBreak/>
        <w:t xml:space="preserve">Briceño, J., Tonato, E., Silva, M., Paredes, M., &amp; Armado, A. (2020). Impact of metal content in agricultural soils near the Tungurahua volcano on the cultivation of Allium fistulosum L. </w:t>
      </w:r>
      <w:r w:rsidRPr="008F2B06">
        <w:rPr>
          <w:rFonts w:ascii="Times New Roman" w:hAnsi="Times New Roman" w:cs="Times New Roman"/>
          <w:i/>
          <w:iCs/>
          <w:noProof/>
          <w:sz w:val="24"/>
          <w:szCs w:val="24"/>
        </w:rPr>
        <w:t>La Granja</w:t>
      </w:r>
      <w:r w:rsidRPr="008F2B06">
        <w:rPr>
          <w:rFonts w:ascii="Times New Roman" w:hAnsi="Times New Roman" w:cs="Times New Roman"/>
          <w:noProof/>
          <w:sz w:val="24"/>
          <w:szCs w:val="24"/>
        </w:rPr>
        <w:t xml:space="preserve">, </w:t>
      </w:r>
      <w:r w:rsidRPr="008F2B06">
        <w:rPr>
          <w:rFonts w:ascii="Times New Roman" w:hAnsi="Times New Roman" w:cs="Times New Roman"/>
          <w:i/>
          <w:iCs/>
          <w:noProof/>
          <w:sz w:val="24"/>
          <w:szCs w:val="24"/>
        </w:rPr>
        <w:t>32</w:t>
      </w:r>
      <w:r w:rsidRPr="008F2B06">
        <w:rPr>
          <w:rFonts w:ascii="Times New Roman" w:hAnsi="Times New Roman" w:cs="Times New Roman"/>
          <w:noProof/>
          <w:sz w:val="24"/>
          <w:szCs w:val="24"/>
        </w:rPr>
        <w:t>(2), 114–126. https://doi.org/10.17163/lgr.n32.2020.09</w:t>
      </w:r>
    </w:p>
    <w:p w14:paraId="315E8D85" w14:textId="77777777" w:rsidR="008F2B06" w:rsidRPr="008F2B06" w:rsidRDefault="008F2B06" w:rsidP="008F2B06">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F2B06">
        <w:rPr>
          <w:rFonts w:ascii="Times New Roman" w:hAnsi="Times New Roman" w:cs="Times New Roman"/>
          <w:noProof/>
          <w:sz w:val="24"/>
          <w:szCs w:val="24"/>
        </w:rPr>
        <w:t xml:space="preserve">El Hamiani, O., El Khalil, H., Sirguey, C., Ouhammou, A., Bitton, G., Schwartz, C., &amp; Boularbah, A. (2015). Metal concentrations in plants from mining areas in South Morocco: Health risks assessment of consumption of edible and aromatic plants. </w:t>
      </w:r>
      <w:r w:rsidRPr="008F2B06">
        <w:rPr>
          <w:rFonts w:ascii="Times New Roman" w:hAnsi="Times New Roman" w:cs="Times New Roman"/>
          <w:i/>
          <w:iCs/>
          <w:noProof/>
          <w:sz w:val="24"/>
          <w:szCs w:val="24"/>
        </w:rPr>
        <w:t>Clean - Soil, Air, Water</w:t>
      </w:r>
      <w:r w:rsidRPr="008F2B06">
        <w:rPr>
          <w:rFonts w:ascii="Times New Roman" w:hAnsi="Times New Roman" w:cs="Times New Roman"/>
          <w:noProof/>
          <w:sz w:val="24"/>
          <w:szCs w:val="24"/>
        </w:rPr>
        <w:t xml:space="preserve">, </w:t>
      </w:r>
      <w:r w:rsidRPr="008F2B06">
        <w:rPr>
          <w:rFonts w:ascii="Times New Roman" w:hAnsi="Times New Roman" w:cs="Times New Roman"/>
          <w:i/>
          <w:iCs/>
          <w:noProof/>
          <w:sz w:val="24"/>
          <w:szCs w:val="24"/>
        </w:rPr>
        <w:t>43</w:t>
      </w:r>
      <w:r w:rsidRPr="008F2B06">
        <w:rPr>
          <w:rFonts w:ascii="Times New Roman" w:hAnsi="Times New Roman" w:cs="Times New Roman"/>
          <w:noProof/>
          <w:sz w:val="24"/>
          <w:szCs w:val="24"/>
        </w:rPr>
        <w:t>(3), 399–407. https://doi.org/10.1002/clen.201300318</w:t>
      </w:r>
    </w:p>
    <w:p w14:paraId="13680534" w14:textId="77777777" w:rsidR="008F2B06" w:rsidRPr="008F2B06" w:rsidRDefault="008F2B06" w:rsidP="008F2B06">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F2B06">
        <w:rPr>
          <w:rFonts w:ascii="Times New Roman" w:hAnsi="Times New Roman" w:cs="Times New Roman"/>
          <w:noProof/>
          <w:sz w:val="24"/>
          <w:szCs w:val="24"/>
        </w:rPr>
        <w:t xml:space="preserve">Gui, H., Yang, Q., Lu, X., Wang, H., Gu, Q., &amp; Martín, J. D. (2023). Spatial distribution, contamination characteristics and ecological-health risk assessment of toxic heavy metals in soils near a smelting area. </w:t>
      </w:r>
      <w:r w:rsidRPr="008F2B06">
        <w:rPr>
          <w:rFonts w:ascii="Times New Roman" w:hAnsi="Times New Roman" w:cs="Times New Roman"/>
          <w:i/>
          <w:iCs/>
          <w:noProof/>
          <w:sz w:val="24"/>
          <w:szCs w:val="24"/>
        </w:rPr>
        <w:t>Environmental Research</w:t>
      </w:r>
      <w:r w:rsidRPr="008F2B06">
        <w:rPr>
          <w:rFonts w:ascii="Times New Roman" w:hAnsi="Times New Roman" w:cs="Times New Roman"/>
          <w:noProof/>
          <w:sz w:val="24"/>
          <w:szCs w:val="24"/>
        </w:rPr>
        <w:t xml:space="preserve">, </w:t>
      </w:r>
      <w:r w:rsidRPr="008F2B06">
        <w:rPr>
          <w:rFonts w:ascii="Times New Roman" w:hAnsi="Times New Roman" w:cs="Times New Roman"/>
          <w:i/>
          <w:iCs/>
          <w:noProof/>
          <w:sz w:val="24"/>
          <w:szCs w:val="24"/>
        </w:rPr>
        <w:t>222</w:t>
      </w:r>
      <w:r w:rsidRPr="008F2B06">
        <w:rPr>
          <w:rFonts w:ascii="Times New Roman" w:hAnsi="Times New Roman" w:cs="Times New Roman"/>
          <w:noProof/>
          <w:sz w:val="24"/>
          <w:szCs w:val="24"/>
        </w:rPr>
        <w:t>, 115328. https://doi.org/10.1016/j.envres.2023.115328</w:t>
      </w:r>
    </w:p>
    <w:p w14:paraId="189C6639" w14:textId="77777777" w:rsidR="008F2B06" w:rsidRPr="008F2B06" w:rsidRDefault="008F2B06" w:rsidP="008F2B06">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F2B06">
        <w:rPr>
          <w:rFonts w:ascii="Times New Roman" w:hAnsi="Times New Roman" w:cs="Times New Roman"/>
          <w:noProof/>
          <w:sz w:val="24"/>
          <w:szCs w:val="24"/>
        </w:rPr>
        <w:t xml:space="preserve">Jung, M. C. (2008). Heavy metal concentrations in soils and factors affecting metal uptake by plants in the vicinity of a Korean Cu-W mine. </w:t>
      </w:r>
      <w:r w:rsidRPr="008F2B06">
        <w:rPr>
          <w:rFonts w:ascii="Times New Roman" w:hAnsi="Times New Roman" w:cs="Times New Roman"/>
          <w:i/>
          <w:iCs/>
          <w:noProof/>
          <w:sz w:val="24"/>
          <w:szCs w:val="24"/>
        </w:rPr>
        <w:t>Sensors</w:t>
      </w:r>
      <w:r w:rsidRPr="008F2B06">
        <w:rPr>
          <w:rFonts w:ascii="Times New Roman" w:hAnsi="Times New Roman" w:cs="Times New Roman"/>
          <w:noProof/>
          <w:sz w:val="24"/>
          <w:szCs w:val="24"/>
        </w:rPr>
        <w:t xml:space="preserve">, </w:t>
      </w:r>
      <w:r w:rsidRPr="008F2B06">
        <w:rPr>
          <w:rFonts w:ascii="Times New Roman" w:hAnsi="Times New Roman" w:cs="Times New Roman"/>
          <w:i/>
          <w:iCs/>
          <w:noProof/>
          <w:sz w:val="24"/>
          <w:szCs w:val="24"/>
        </w:rPr>
        <w:t>8</w:t>
      </w:r>
      <w:r w:rsidRPr="008F2B06">
        <w:rPr>
          <w:rFonts w:ascii="Times New Roman" w:hAnsi="Times New Roman" w:cs="Times New Roman"/>
          <w:noProof/>
          <w:sz w:val="24"/>
          <w:szCs w:val="24"/>
        </w:rPr>
        <w:t>(4), 2413–2423. https://doi.org/10.3390/s8042413</w:t>
      </w:r>
    </w:p>
    <w:p w14:paraId="430A5360" w14:textId="77777777" w:rsidR="008F2B06" w:rsidRPr="008F2B06" w:rsidRDefault="008F2B06" w:rsidP="008F2B06">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F2B06">
        <w:rPr>
          <w:rFonts w:ascii="Times New Roman" w:hAnsi="Times New Roman" w:cs="Times New Roman"/>
          <w:noProof/>
          <w:sz w:val="24"/>
          <w:szCs w:val="24"/>
        </w:rPr>
        <w:t xml:space="preserve">Melendi, E., Tanjal, C., Borzi, G., Raigemborn, M. S., &amp; Carol, E. (2020). Hydrodynamic and hydrochemistry of wet meadows and shallow lakes in areas of the Patagonian basaltic plateaus, Argentina. </w:t>
      </w:r>
      <w:r w:rsidRPr="008F2B06">
        <w:rPr>
          <w:rFonts w:ascii="Times New Roman" w:hAnsi="Times New Roman" w:cs="Times New Roman"/>
          <w:i/>
          <w:iCs/>
          <w:noProof/>
          <w:sz w:val="24"/>
          <w:szCs w:val="24"/>
        </w:rPr>
        <w:t>Science of the Total Environment</w:t>
      </w:r>
      <w:r w:rsidRPr="008F2B06">
        <w:rPr>
          <w:rFonts w:ascii="Times New Roman" w:hAnsi="Times New Roman" w:cs="Times New Roman"/>
          <w:noProof/>
          <w:sz w:val="24"/>
          <w:szCs w:val="24"/>
        </w:rPr>
        <w:t xml:space="preserve">, </w:t>
      </w:r>
      <w:r w:rsidRPr="008F2B06">
        <w:rPr>
          <w:rFonts w:ascii="Times New Roman" w:hAnsi="Times New Roman" w:cs="Times New Roman"/>
          <w:i/>
          <w:iCs/>
          <w:noProof/>
          <w:sz w:val="24"/>
          <w:szCs w:val="24"/>
        </w:rPr>
        <w:t>744</w:t>
      </w:r>
      <w:r w:rsidRPr="008F2B06">
        <w:rPr>
          <w:rFonts w:ascii="Times New Roman" w:hAnsi="Times New Roman" w:cs="Times New Roman"/>
          <w:noProof/>
          <w:sz w:val="24"/>
          <w:szCs w:val="24"/>
        </w:rPr>
        <w:t>, 140897. https://doi.org/10.1016/j.scitotenv.2020.140897</w:t>
      </w:r>
    </w:p>
    <w:p w14:paraId="7E2D6C54" w14:textId="77777777" w:rsidR="008F2B06" w:rsidRPr="008F2B06" w:rsidRDefault="008F2B06" w:rsidP="008F2B06">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8F2B06">
        <w:rPr>
          <w:rFonts w:ascii="Times New Roman" w:hAnsi="Times New Roman" w:cs="Times New Roman"/>
          <w:noProof/>
          <w:sz w:val="24"/>
          <w:szCs w:val="24"/>
        </w:rPr>
        <w:t xml:space="preserve">Rieuwerts, J. S. (2007). The mobility and bioavailability of trace metals in tropical soils: A review. </w:t>
      </w:r>
      <w:r w:rsidRPr="008F2B06">
        <w:rPr>
          <w:rFonts w:ascii="Times New Roman" w:hAnsi="Times New Roman" w:cs="Times New Roman"/>
          <w:i/>
          <w:iCs/>
          <w:noProof/>
          <w:sz w:val="24"/>
          <w:szCs w:val="24"/>
        </w:rPr>
        <w:t>Chemical Speciation and Bioavailability</w:t>
      </w:r>
      <w:r w:rsidRPr="008F2B06">
        <w:rPr>
          <w:rFonts w:ascii="Times New Roman" w:hAnsi="Times New Roman" w:cs="Times New Roman"/>
          <w:noProof/>
          <w:sz w:val="24"/>
          <w:szCs w:val="24"/>
        </w:rPr>
        <w:t xml:space="preserve">, </w:t>
      </w:r>
      <w:r w:rsidRPr="008F2B06">
        <w:rPr>
          <w:rFonts w:ascii="Times New Roman" w:hAnsi="Times New Roman" w:cs="Times New Roman"/>
          <w:i/>
          <w:iCs/>
          <w:noProof/>
          <w:sz w:val="24"/>
          <w:szCs w:val="24"/>
        </w:rPr>
        <w:t>19</w:t>
      </w:r>
      <w:r w:rsidRPr="008F2B06">
        <w:rPr>
          <w:rFonts w:ascii="Times New Roman" w:hAnsi="Times New Roman" w:cs="Times New Roman"/>
          <w:noProof/>
          <w:sz w:val="24"/>
          <w:szCs w:val="24"/>
        </w:rPr>
        <w:t>(2), 75–85. https://doi.org/10.3184/095422907X211918</w:t>
      </w:r>
    </w:p>
    <w:p w14:paraId="2FA1C648" w14:textId="77777777" w:rsidR="008F2B06" w:rsidRPr="008F2B06" w:rsidRDefault="008F2B06" w:rsidP="008F2B06">
      <w:pPr>
        <w:widowControl w:val="0"/>
        <w:autoSpaceDE w:val="0"/>
        <w:autoSpaceDN w:val="0"/>
        <w:adjustRightInd w:val="0"/>
        <w:spacing w:before="240" w:line="360" w:lineRule="auto"/>
        <w:ind w:left="480" w:hanging="480"/>
        <w:rPr>
          <w:rFonts w:ascii="Times New Roman" w:hAnsi="Times New Roman" w:cs="Times New Roman"/>
          <w:noProof/>
          <w:sz w:val="24"/>
        </w:rPr>
      </w:pPr>
      <w:r w:rsidRPr="008F2B06">
        <w:rPr>
          <w:rFonts w:ascii="Times New Roman" w:hAnsi="Times New Roman" w:cs="Times New Roman"/>
          <w:noProof/>
          <w:sz w:val="24"/>
          <w:szCs w:val="24"/>
        </w:rPr>
        <w:t xml:space="preserve">Sparks, D. L., Singh, B., &amp; Siebecker, M. G. (2024). Chemistry of Soil Organic Matter. In </w:t>
      </w:r>
      <w:r w:rsidRPr="008F2B06">
        <w:rPr>
          <w:rFonts w:ascii="Times New Roman" w:hAnsi="Times New Roman" w:cs="Times New Roman"/>
          <w:i/>
          <w:iCs/>
          <w:noProof/>
          <w:sz w:val="24"/>
          <w:szCs w:val="24"/>
        </w:rPr>
        <w:t>Environmental Soil Chemistry</w:t>
      </w:r>
      <w:r w:rsidRPr="008F2B06">
        <w:rPr>
          <w:rFonts w:ascii="Times New Roman" w:hAnsi="Times New Roman" w:cs="Times New Roman"/>
          <w:noProof/>
          <w:sz w:val="24"/>
          <w:szCs w:val="24"/>
        </w:rPr>
        <w:t xml:space="preserve"> (pp. 105–167). Elsevier. https://doi.org/10.1016/B978-0-443-14034-1.00003-4</w:t>
      </w:r>
    </w:p>
    <w:p w14:paraId="37FFD42B" w14:textId="601CC0A6" w:rsidR="0066441A" w:rsidRPr="00ED455E" w:rsidRDefault="00284B0E" w:rsidP="00FB12E9">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fldChar w:fldCharType="end"/>
      </w:r>
    </w:p>
    <w:sectPr w:rsidR="0066441A" w:rsidRPr="00ED455E" w:rsidSect="00B82D8F">
      <w:type w:val="continuous"/>
      <w:pgSz w:w="11906" w:h="16838"/>
      <w:pgMar w:top="1440" w:right="1080" w:bottom="1440" w:left="108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62A8" w14:textId="77777777" w:rsidR="00372490" w:rsidRDefault="00372490" w:rsidP="00D73238">
      <w:pPr>
        <w:spacing w:after="0" w:line="240" w:lineRule="auto"/>
      </w:pPr>
      <w:r>
        <w:separator/>
      </w:r>
    </w:p>
  </w:endnote>
  <w:endnote w:type="continuationSeparator" w:id="0">
    <w:p w14:paraId="4D2D61CD" w14:textId="77777777" w:rsidR="00372490" w:rsidRDefault="00372490" w:rsidP="00D7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ADB8" w14:textId="77777777" w:rsidR="00372490" w:rsidRDefault="00372490" w:rsidP="00D73238">
      <w:pPr>
        <w:spacing w:after="0" w:line="240" w:lineRule="auto"/>
      </w:pPr>
      <w:r>
        <w:separator/>
      </w:r>
    </w:p>
  </w:footnote>
  <w:footnote w:type="continuationSeparator" w:id="0">
    <w:p w14:paraId="16147A91" w14:textId="77777777" w:rsidR="00372490" w:rsidRDefault="00372490" w:rsidP="00D73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47D2"/>
    <w:multiLevelType w:val="hybridMultilevel"/>
    <w:tmpl w:val="0F8EF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E26518"/>
    <w:multiLevelType w:val="multilevel"/>
    <w:tmpl w:val="08783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A2185"/>
    <w:multiLevelType w:val="multilevel"/>
    <w:tmpl w:val="47F2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7014467">
    <w:abstractNumId w:val="2"/>
  </w:num>
  <w:num w:numId="2" w16cid:durableId="1738821927">
    <w:abstractNumId w:val="1"/>
  </w:num>
  <w:num w:numId="3" w16cid:durableId="32204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38"/>
    <w:rsid w:val="00021348"/>
    <w:rsid w:val="00047FD7"/>
    <w:rsid w:val="000523C7"/>
    <w:rsid w:val="00132411"/>
    <w:rsid w:val="001647E0"/>
    <w:rsid w:val="002748E5"/>
    <w:rsid w:val="00284B0E"/>
    <w:rsid w:val="002C5806"/>
    <w:rsid w:val="00313825"/>
    <w:rsid w:val="00372490"/>
    <w:rsid w:val="003A029F"/>
    <w:rsid w:val="003A3297"/>
    <w:rsid w:val="00404204"/>
    <w:rsid w:val="004043CD"/>
    <w:rsid w:val="004414F8"/>
    <w:rsid w:val="00462AC7"/>
    <w:rsid w:val="00491DE8"/>
    <w:rsid w:val="004A447A"/>
    <w:rsid w:val="004C3C9F"/>
    <w:rsid w:val="00513AE6"/>
    <w:rsid w:val="005721A4"/>
    <w:rsid w:val="005924F4"/>
    <w:rsid w:val="00596629"/>
    <w:rsid w:val="00596D4B"/>
    <w:rsid w:val="006409EE"/>
    <w:rsid w:val="006414D9"/>
    <w:rsid w:val="0066441A"/>
    <w:rsid w:val="00670031"/>
    <w:rsid w:val="006743A7"/>
    <w:rsid w:val="007C7748"/>
    <w:rsid w:val="007D370A"/>
    <w:rsid w:val="007D7AEC"/>
    <w:rsid w:val="007F2F17"/>
    <w:rsid w:val="00864DBB"/>
    <w:rsid w:val="00881D19"/>
    <w:rsid w:val="008C426C"/>
    <w:rsid w:val="008F1522"/>
    <w:rsid w:val="008F2B06"/>
    <w:rsid w:val="008F6C6A"/>
    <w:rsid w:val="00950231"/>
    <w:rsid w:val="00951FC7"/>
    <w:rsid w:val="00962030"/>
    <w:rsid w:val="00A01D71"/>
    <w:rsid w:val="00A4207D"/>
    <w:rsid w:val="00A74D50"/>
    <w:rsid w:val="00A77E5E"/>
    <w:rsid w:val="00AA761F"/>
    <w:rsid w:val="00AC3F1E"/>
    <w:rsid w:val="00AF03B2"/>
    <w:rsid w:val="00B34118"/>
    <w:rsid w:val="00B70D3D"/>
    <w:rsid w:val="00B82D8F"/>
    <w:rsid w:val="00B85A17"/>
    <w:rsid w:val="00B96BAA"/>
    <w:rsid w:val="00B975E1"/>
    <w:rsid w:val="00D2589D"/>
    <w:rsid w:val="00D73238"/>
    <w:rsid w:val="00DD3D6F"/>
    <w:rsid w:val="00DE5298"/>
    <w:rsid w:val="00E33A9D"/>
    <w:rsid w:val="00E9098B"/>
    <w:rsid w:val="00E92C9C"/>
    <w:rsid w:val="00EC0EFE"/>
    <w:rsid w:val="00ED455E"/>
    <w:rsid w:val="00F06238"/>
    <w:rsid w:val="00F815F9"/>
    <w:rsid w:val="00F85FCA"/>
    <w:rsid w:val="00FA445C"/>
    <w:rsid w:val="00FB12E9"/>
    <w:rsid w:val="00FB5452"/>
    <w:rsid w:val="00FC65BB"/>
    <w:rsid w:val="00FF48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C9030"/>
  <w15:chartTrackingRefBased/>
  <w15:docId w15:val="{ED6F569B-8319-4665-BA3D-32A68314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2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3238"/>
    <w:rPr>
      <w:lang w:val="es-EC"/>
    </w:rPr>
  </w:style>
  <w:style w:type="paragraph" w:styleId="Piedepgina">
    <w:name w:val="footer"/>
    <w:basedOn w:val="Normal"/>
    <w:link w:val="PiedepginaCar"/>
    <w:uiPriority w:val="99"/>
    <w:unhideWhenUsed/>
    <w:rsid w:val="00D732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3238"/>
    <w:rPr>
      <w:lang w:val="es-EC"/>
    </w:rPr>
  </w:style>
  <w:style w:type="paragraph" w:styleId="Ttulo">
    <w:name w:val="Title"/>
    <w:basedOn w:val="Normal"/>
    <w:next w:val="Normal"/>
    <w:link w:val="TtuloCar"/>
    <w:qFormat/>
    <w:rsid w:val="00D73238"/>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20"/>
      <w:lang w:val="en-US"/>
    </w:rPr>
  </w:style>
  <w:style w:type="character" w:customStyle="1" w:styleId="TtuloCar">
    <w:name w:val="Título Car"/>
    <w:basedOn w:val="Fuentedeprrafopredeter"/>
    <w:link w:val="Ttulo"/>
    <w:rsid w:val="00D73238"/>
    <w:rPr>
      <w:rFonts w:ascii="Times New Roman" w:eastAsia="Times New Roman" w:hAnsi="Times New Roman" w:cs="Times New Roman"/>
      <w:kern w:val="28"/>
      <w:sz w:val="48"/>
      <w:szCs w:val="20"/>
      <w:lang w:val="en-US"/>
    </w:rPr>
  </w:style>
  <w:style w:type="character" w:styleId="Hipervnculo">
    <w:name w:val="Hyperlink"/>
    <w:basedOn w:val="Fuentedeprrafopredeter"/>
    <w:uiPriority w:val="99"/>
    <w:unhideWhenUsed/>
    <w:rsid w:val="006409EE"/>
    <w:rPr>
      <w:color w:val="0563C1" w:themeColor="hyperlink"/>
      <w:u w:val="single"/>
    </w:rPr>
  </w:style>
  <w:style w:type="paragraph" w:customStyle="1" w:styleId="Text">
    <w:name w:val="Text"/>
    <w:basedOn w:val="Normal"/>
    <w:rsid w:val="00FF4845"/>
    <w:pPr>
      <w:widowControl w:val="0"/>
      <w:spacing w:after="0" w:line="252" w:lineRule="auto"/>
      <w:ind w:firstLine="240"/>
      <w:jc w:val="both"/>
    </w:pPr>
    <w:rPr>
      <w:rFonts w:ascii="Times New Roman" w:eastAsia="Times New Roman" w:hAnsi="Times New Roman" w:cs="Times New Roman"/>
      <w:sz w:val="20"/>
      <w:szCs w:val="20"/>
      <w:lang w:val="en-US"/>
    </w:rPr>
  </w:style>
  <w:style w:type="character" w:styleId="Textoennegrita">
    <w:name w:val="Strong"/>
    <w:basedOn w:val="Fuentedeprrafopredeter"/>
    <w:uiPriority w:val="22"/>
    <w:qFormat/>
    <w:rsid w:val="00513AE6"/>
    <w:rPr>
      <w:b/>
      <w:bCs/>
    </w:rPr>
  </w:style>
  <w:style w:type="table" w:styleId="Tablaconcuadrcula">
    <w:name w:val="Table Grid"/>
    <w:basedOn w:val="Tablanormal"/>
    <w:uiPriority w:val="39"/>
    <w:rsid w:val="0051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5993">
      <w:bodyDiv w:val="1"/>
      <w:marLeft w:val="0"/>
      <w:marRight w:val="0"/>
      <w:marTop w:val="0"/>
      <w:marBottom w:val="0"/>
      <w:divBdr>
        <w:top w:val="none" w:sz="0" w:space="0" w:color="auto"/>
        <w:left w:val="none" w:sz="0" w:space="0" w:color="auto"/>
        <w:bottom w:val="none" w:sz="0" w:space="0" w:color="auto"/>
        <w:right w:val="none" w:sz="0" w:space="0" w:color="auto"/>
      </w:divBdr>
    </w:div>
    <w:div w:id="1709406844">
      <w:bodyDiv w:val="1"/>
      <w:marLeft w:val="0"/>
      <w:marRight w:val="0"/>
      <w:marTop w:val="0"/>
      <w:marBottom w:val="0"/>
      <w:divBdr>
        <w:top w:val="none" w:sz="0" w:space="0" w:color="auto"/>
        <w:left w:val="none" w:sz="0" w:space="0" w:color="auto"/>
        <w:bottom w:val="none" w:sz="0" w:space="0" w:color="auto"/>
        <w:right w:val="none" w:sz="0" w:space="0" w:color="auto"/>
      </w:divBdr>
      <w:divsChild>
        <w:div w:id="2015263120">
          <w:marLeft w:val="0"/>
          <w:marRight w:val="0"/>
          <w:marTop w:val="0"/>
          <w:marBottom w:val="0"/>
          <w:divBdr>
            <w:top w:val="none" w:sz="0" w:space="0" w:color="auto"/>
            <w:left w:val="none" w:sz="0" w:space="0" w:color="auto"/>
            <w:bottom w:val="none" w:sz="0" w:space="0" w:color="auto"/>
            <w:right w:val="none" w:sz="0" w:space="0" w:color="auto"/>
          </w:divBdr>
        </w:div>
        <w:div w:id="88552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1B2F-202A-4BEE-B924-92A4E056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5387</Words>
  <Characters>29631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Bosquez</dc:creator>
  <cp:keywords/>
  <dc:description/>
  <cp:lastModifiedBy>Jorge Alexander Briceño Carrasquel</cp:lastModifiedBy>
  <cp:revision>6</cp:revision>
  <dcterms:created xsi:type="dcterms:W3CDTF">2022-09-01T22:26:00Z</dcterms:created>
  <dcterms:modified xsi:type="dcterms:W3CDTF">2023-04-14T14:29:00Z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708644e0-87de-32d2-ba29-ae85f71af4d2</vt:lpwstr>
  </property>
</Properties>
</file>